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F2" w:rsidRPr="00BA5E49" w:rsidRDefault="001D32F2" w:rsidP="001D32F2">
      <w:pPr>
        <w:spacing w:line="760" w:lineRule="exact"/>
        <w:jc w:val="center"/>
        <w:rPr>
          <w:rFonts w:ascii="Times New Roman" w:eastAsia="方正小标宋简体"/>
          <w:sz w:val="44"/>
          <w:szCs w:val="44"/>
        </w:rPr>
      </w:pPr>
      <w:bookmarkStart w:id="0" w:name="_GoBack"/>
      <w:r w:rsidRPr="00BA5E49">
        <w:rPr>
          <w:rFonts w:ascii="Times New Roman" w:eastAsia="方正小标宋简体"/>
          <w:sz w:val="44"/>
          <w:szCs w:val="44"/>
        </w:rPr>
        <w:t>广东省</w:t>
      </w:r>
      <w:r w:rsidRPr="00BA5E49">
        <w:rPr>
          <w:rFonts w:ascii="Times New Roman" w:eastAsia="方正小标宋简体"/>
          <w:sz w:val="44"/>
          <w:szCs w:val="44"/>
        </w:rPr>
        <w:t>2017</w:t>
      </w:r>
      <w:r w:rsidRPr="00BA5E49">
        <w:rPr>
          <w:rFonts w:ascii="Times New Roman" w:eastAsia="方正小标宋简体"/>
          <w:sz w:val="44"/>
          <w:szCs w:val="44"/>
        </w:rPr>
        <w:t>年新增博士硕士学位授权点</w:t>
      </w:r>
    </w:p>
    <w:p w:rsidR="001D32F2" w:rsidRPr="00BA5E49" w:rsidRDefault="001D32F2" w:rsidP="001D32F2">
      <w:pPr>
        <w:spacing w:line="760" w:lineRule="exact"/>
        <w:jc w:val="center"/>
        <w:rPr>
          <w:rFonts w:ascii="Times New Roman" w:eastAsia="方正小标宋简体"/>
          <w:sz w:val="44"/>
          <w:szCs w:val="44"/>
        </w:rPr>
      </w:pPr>
      <w:r w:rsidRPr="00BA5E49">
        <w:rPr>
          <w:rFonts w:ascii="Times New Roman" w:eastAsia="方正小标宋简体"/>
          <w:sz w:val="44"/>
          <w:szCs w:val="44"/>
        </w:rPr>
        <w:t>申报指南</w:t>
      </w:r>
    </w:p>
    <w:bookmarkEnd w:id="0"/>
    <w:p w:rsidR="001D32F2" w:rsidRPr="00BA5E49" w:rsidRDefault="001D32F2" w:rsidP="001D32F2">
      <w:pPr>
        <w:spacing w:line="560" w:lineRule="exact"/>
        <w:rPr>
          <w:rFonts w:ascii="Times New Roman"/>
          <w:szCs w:val="32"/>
        </w:rPr>
      </w:pPr>
      <w:r w:rsidRPr="00BA5E49">
        <w:rPr>
          <w:rFonts w:ascii="Times New Roman"/>
          <w:szCs w:val="32"/>
        </w:rPr>
        <w:t xml:space="preserve">                    </w:t>
      </w:r>
    </w:p>
    <w:p w:rsidR="001D32F2" w:rsidRPr="00BA5E49" w:rsidRDefault="001D32F2" w:rsidP="001D32F2">
      <w:pPr>
        <w:spacing w:line="560" w:lineRule="exact"/>
        <w:ind w:firstLineChars="250" w:firstLine="800"/>
        <w:rPr>
          <w:rFonts w:ascii="Times New Roman"/>
          <w:szCs w:val="32"/>
        </w:rPr>
      </w:pPr>
      <w:r w:rsidRPr="00BA5E49">
        <w:rPr>
          <w:rFonts w:ascii="Times New Roman"/>
          <w:szCs w:val="32"/>
        </w:rPr>
        <w:t>根据国务院学位委员会《关于开展</w:t>
      </w:r>
      <w:r w:rsidRPr="00BA5E49">
        <w:rPr>
          <w:rFonts w:ascii="Times New Roman"/>
          <w:szCs w:val="32"/>
        </w:rPr>
        <w:t>2017</w:t>
      </w:r>
      <w:r w:rsidRPr="00BA5E49">
        <w:rPr>
          <w:rFonts w:ascii="Times New Roman"/>
          <w:szCs w:val="32"/>
        </w:rPr>
        <w:t>年博士硕士学位授权审核工作的通知》（学位</w:t>
      </w:r>
      <w:r>
        <w:rPr>
          <w:rFonts w:ascii="Times New Roman" w:hint="eastAsia"/>
          <w:szCs w:val="32"/>
        </w:rPr>
        <w:t>〔</w:t>
      </w:r>
      <w:r w:rsidRPr="00BA5E49">
        <w:rPr>
          <w:rFonts w:ascii="Times New Roman"/>
          <w:szCs w:val="32"/>
        </w:rPr>
        <w:t>2017</w:t>
      </w:r>
      <w:r>
        <w:rPr>
          <w:rFonts w:ascii="Times New Roman" w:hint="eastAsia"/>
          <w:szCs w:val="32"/>
        </w:rPr>
        <w:t>〕</w:t>
      </w:r>
      <w:r w:rsidRPr="00BA5E49">
        <w:rPr>
          <w:rFonts w:ascii="Times New Roman"/>
          <w:szCs w:val="32"/>
        </w:rPr>
        <w:t>12</w:t>
      </w:r>
      <w:r w:rsidRPr="00BA5E49">
        <w:rPr>
          <w:rFonts w:ascii="Times New Roman"/>
          <w:szCs w:val="32"/>
        </w:rPr>
        <w:t>号）文件精神，结合《广东省教育发展十三五规划（</w:t>
      </w:r>
      <w:r w:rsidRPr="00BA5E49">
        <w:rPr>
          <w:rFonts w:ascii="Times New Roman"/>
          <w:szCs w:val="32"/>
        </w:rPr>
        <w:t>2016</w:t>
      </w:r>
      <w:r w:rsidRPr="00BA5E49">
        <w:rPr>
          <w:rFonts w:hint="eastAsia"/>
          <w:szCs w:val="32"/>
        </w:rPr>
        <w:t>-</w:t>
      </w:r>
      <w:r w:rsidRPr="00BA5E49">
        <w:rPr>
          <w:rFonts w:ascii="Times New Roman"/>
          <w:szCs w:val="32"/>
        </w:rPr>
        <w:t>2020</w:t>
      </w:r>
      <w:r w:rsidRPr="00BA5E49">
        <w:rPr>
          <w:rFonts w:ascii="Times New Roman"/>
          <w:szCs w:val="32"/>
        </w:rPr>
        <w:t>年）》，依据国家和我省经济社会发展对高层次人才的实际需求，现制订《</w:t>
      </w:r>
      <w:r w:rsidRPr="00BA5E49">
        <w:rPr>
          <w:rFonts w:ascii="Times New Roman"/>
          <w:szCs w:val="32"/>
        </w:rPr>
        <w:t>2017</w:t>
      </w:r>
      <w:r w:rsidRPr="00BA5E49">
        <w:rPr>
          <w:rFonts w:ascii="Times New Roman"/>
          <w:szCs w:val="32"/>
        </w:rPr>
        <w:t>年</w:t>
      </w:r>
      <w:smartTag w:uri="urn:schemas-microsoft-com:office:smarttags" w:element="PersonName">
        <w:smartTagPr>
          <w:attr w:name="ProductID" w:val="广东省"/>
        </w:smartTagPr>
        <w:r w:rsidRPr="00BA5E49">
          <w:rPr>
            <w:rFonts w:ascii="Times New Roman"/>
            <w:szCs w:val="32"/>
          </w:rPr>
          <w:t>广东省</w:t>
        </w:r>
      </w:smartTag>
      <w:r w:rsidRPr="00BA5E49">
        <w:rPr>
          <w:rFonts w:ascii="Times New Roman"/>
          <w:szCs w:val="32"/>
        </w:rPr>
        <w:t>博士硕士学位授权点申报指南》如下：</w:t>
      </w:r>
    </w:p>
    <w:p w:rsidR="001D32F2" w:rsidRPr="00BA5E49" w:rsidRDefault="001D32F2" w:rsidP="001D32F2">
      <w:pPr>
        <w:spacing w:line="560" w:lineRule="exact"/>
        <w:ind w:firstLineChars="200" w:firstLine="640"/>
        <w:rPr>
          <w:rFonts w:ascii="Times New Roman" w:eastAsia="黑体"/>
          <w:szCs w:val="32"/>
        </w:rPr>
      </w:pPr>
      <w:r w:rsidRPr="00BA5E49">
        <w:rPr>
          <w:rFonts w:ascii="Times New Roman" w:eastAsia="黑体" w:hAnsi="黑体"/>
          <w:szCs w:val="32"/>
        </w:rPr>
        <w:t>一、基本原则</w:t>
      </w:r>
    </w:p>
    <w:p w:rsidR="001D32F2" w:rsidRPr="00BA5E49" w:rsidRDefault="001D32F2" w:rsidP="001D32F2">
      <w:pPr>
        <w:spacing w:line="560" w:lineRule="exact"/>
        <w:ind w:firstLineChars="200" w:firstLine="643"/>
        <w:rPr>
          <w:rFonts w:hint="eastAsia"/>
          <w:szCs w:val="32"/>
        </w:rPr>
      </w:pPr>
      <w:r w:rsidRPr="00BA5E49">
        <w:rPr>
          <w:rFonts w:hAnsi="仿宋" w:hint="eastAsia"/>
          <w:b/>
          <w:szCs w:val="32"/>
        </w:rPr>
        <w:t>加强统筹规划</w:t>
      </w:r>
      <w:r w:rsidRPr="00BA5E49">
        <w:rPr>
          <w:rFonts w:hAnsi="仿宋" w:hint="eastAsia"/>
          <w:szCs w:val="32"/>
        </w:rPr>
        <w:t>。</w:t>
      </w:r>
      <w:r w:rsidRPr="00BA5E49">
        <w:rPr>
          <w:rFonts w:hAnsi="仿宋" w:hint="eastAsia"/>
          <w:color w:val="000000"/>
          <w:szCs w:val="32"/>
        </w:rPr>
        <w:t>紧紧围绕国家和广东经济社会发展实际，加强顶层设计，强化省级统筹，</w:t>
      </w:r>
      <w:r w:rsidRPr="00BA5E49">
        <w:rPr>
          <w:rFonts w:hAnsi="仿宋" w:hint="eastAsia"/>
          <w:szCs w:val="32"/>
        </w:rPr>
        <w:t>注重调整结构，优化布局，加强内涵建设，</w:t>
      </w:r>
      <w:r w:rsidRPr="00BA5E49">
        <w:rPr>
          <w:rFonts w:hAnsi="仿宋" w:hint="eastAsia"/>
          <w:color w:val="000000"/>
          <w:szCs w:val="32"/>
        </w:rPr>
        <w:t>着力构建与经济社会发展联系更加紧密的学位授权体系。</w:t>
      </w:r>
    </w:p>
    <w:p w:rsidR="001D32F2" w:rsidRPr="00BA5E49" w:rsidRDefault="001D32F2" w:rsidP="001D32F2">
      <w:pPr>
        <w:spacing w:line="560" w:lineRule="exact"/>
        <w:ind w:firstLineChars="200" w:firstLine="643"/>
        <w:contextualSpacing/>
        <w:rPr>
          <w:rFonts w:hint="eastAsia"/>
          <w:szCs w:val="32"/>
        </w:rPr>
      </w:pPr>
      <w:r w:rsidRPr="00BA5E49">
        <w:rPr>
          <w:rFonts w:hAnsi="仿宋" w:hint="eastAsia"/>
          <w:b/>
          <w:szCs w:val="32"/>
        </w:rPr>
        <w:t>坚持需求优先</w:t>
      </w:r>
      <w:r w:rsidRPr="00BA5E49">
        <w:rPr>
          <w:rFonts w:hAnsi="仿宋" w:hint="eastAsia"/>
          <w:szCs w:val="32"/>
        </w:rPr>
        <w:t>。以服务国家战略和区域经济社会发展为前提，</w:t>
      </w:r>
      <w:r w:rsidRPr="00BA5E49">
        <w:rPr>
          <w:rFonts w:hAnsi="仿宋" w:hint="eastAsia"/>
          <w:color w:val="000000"/>
          <w:szCs w:val="32"/>
        </w:rPr>
        <w:t>注重与产业发展、社会就业需求、科技发展前沿趋势相衔接。新增学位点</w:t>
      </w:r>
      <w:r w:rsidRPr="00BA5E49">
        <w:rPr>
          <w:rFonts w:hint="eastAsia"/>
          <w:szCs w:val="32"/>
        </w:rPr>
        <w:t>优先增列填补国家和我省发展重点领域、空白领域以及与经济社会发展密切相关、社会需求较大、培养应用型人才的学位点或专业学位类别。其中新增硕士点以专业学位点为主。</w:t>
      </w:r>
    </w:p>
    <w:p w:rsidR="001D32F2" w:rsidRPr="00BA5E49" w:rsidRDefault="001D32F2" w:rsidP="001D32F2">
      <w:pPr>
        <w:spacing w:line="560" w:lineRule="exact"/>
        <w:ind w:firstLineChars="200" w:firstLine="643"/>
        <w:contextualSpacing/>
        <w:rPr>
          <w:rFonts w:hint="eastAsia"/>
          <w:szCs w:val="32"/>
        </w:rPr>
      </w:pPr>
      <w:r w:rsidRPr="00BA5E49">
        <w:rPr>
          <w:rFonts w:hAnsi="仿宋" w:hint="eastAsia"/>
          <w:b/>
          <w:szCs w:val="32"/>
        </w:rPr>
        <w:t>强化质量标准</w:t>
      </w:r>
      <w:r w:rsidRPr="00BA5E49">
        <w:rPr>
          <w:rFonts w:hint="eastAsia"/>
          <w:szCs w:val="32"/>
        </w:rPr>
        <w:t>。严格按照国务院</w:t>
      </w:r>
      <w:r w:rsidRPr="00BA5E49">
        <w:rPr>
          <w:rFonts w:hAnsi="仿宋" w:hint="eastAsia"/>
          <w:szCs w:val="32"/>
        </w:rPr>
        <w:t>学位委员会制定的有关标准和条件开展工作，将质量标准贯穿工作始终。申请学位点要制订学位点建设发展规划，明确学位点服务需求和保证人才培养质量的保障措施，</w:t>
      </w:r>
      <w:r w:rsidRPr="00BA5E49">
        <w:rPr>
          <w:rFonts w:hAnsi="仿宋" w:hint="eastAsia"/>
          <w:color w:val="000000"/>
          <w:szCs w:val="32"/>
        </w:rPr>
        <w:t>强化学位授予单位及学位点的质量意识。</w:t>
      </w:r>
    </w:p>
    <w:p w:rsidR="001D32F2" w:rsidRPr="00BA5E49" w:rsidRDefault="001D32F2" w:rsidP="001D32F2">
      <w:pPr>
        <w:spacing w:line="560" w:lineRule="exact"/>
        <w:ind w:firstLineChars="200" w:firstLine="640"/>
        <w:rPr>
          <w:rFonts w:ascii="Times New Roman" w:eastAsia="黑体"/>
          <w:szCs w:val="32"/>
        </w:rPr>
      </w:pPr>
      <w:r w:rsidRPr="00BA5E49">
        <w:rPr>
          <w:rFonts w:ascii="Times New Roman" w:eastAsia="黑体" w:hAnsi="黑体"/>
          <w:szCs w:val="32"/>
        </w:rPr>
        <w:lastRenderedPageBreak/>
        <w:t>二、申请范围</w:t>
      </w:r>
    </w:p>
    <w:p w:rsidR="001D32F2" w:rsidRPr="00BA5E49" w:rsidRDefault="001D32F2" w:rsidP="001D32F2">
      <w:pPr>
        <w:spacing w:line="560" w:lineRule="exact"/>
        <w:ind w:firstLineChars="200" w:firstLine="640"/>
        <w:contextualSpacing/>
        <w:rPr>
          <w:rFonts w:hint="eastAsia"/>
          <w:szCs w:val="32"/>
        </w:rPr>
      </w:pPr>
      <w:r w:rsidRPr="00BA5E49">
        <w:rPr>
          <w:rFonts w:hAnsi="仿宋" w:hint="eastAsia"/>
          <w:szCs w:val="32"/>
        </w:rPr>
        <w:t>新增博士硕士学位授权点只在具有相应学位授权的学位授予单位内进行，原则上不包括已转制为企业的学位授予单位。博士学位授予单位可</w:t>
      </w:r>
      <w:smartTag w:uri="urn:schemas-microsoft-com:office:smarttags" w:element="PersonName">
        <w:smartTagPr>
          <w:attr w:name="ProductID" w:val="申请"/>
        </w:smartTagPr>
        <w:r w:rsidRPr="00BA5E49">
          <w:rPr>
            <w:rFonts w:hAnsi="仿宋" w:hint="eastAsia"/>
            <w:szCs w:val="32"/>
          </w:rPr>
          <w:t>申请</w:t>
        </w:r>
      </w:smartTag>
      <w:r w:rsidRPr="00BA5E49">
        <w:rPr>
          <w:rFonts w:hAnsi="仿宋" w:hint="eastAsia"/>
          <w:szCs w:val="32"/>
        </w:rPr>
        <w:t>博士、硕士学位授权一级学科或专业学位类别，硕士学位授予单位可申请硕士学位授权一级学科或专业学位类别。申请学位授权点需满足相应一级学科或专业学位类别的申请基本条件。</w:t>
      </w:r>
    </w:p>
    <w:p w:rsidR="001D32F2" w:rsidRPr="00BA5E49" w:rsidRDefault="001D32F2" w:rsidP="001D32F2">
      <w:pPr>
        <w:spacing w:line="560" w:lineRule="exact"/>
        <w:ind w:firstLineChars="200" w:firstLine="640"/>
        <w:rPr>
          <w:rFonts w:ascii="Times New Roman" w:eastAsia="黑体"/>
          <w:szCs w:val="32"/>
        </w:rPr>
      </w:pPr>
      <w:r w:rsidRPr="00BA5E49">
        <w:rPr>
          <w:rFonts w:ascii="Times New Roman" w:eastAsia="黑体" w:hAnsi="黑体"/>
          <w:szCs w:val="32"/>
        </w:rPr>
        <w:t>三、支持申请的学位点</w:t>
      </w:r>
    </w:p>
    <w:p w:rsidR="001D32F2" w:rsidRPr="00BA5E49" w:rsidRDefault="001D32F2" w:rsidP="001D32F2">
      <w:pPr>
        <w:spacing w:line="560" w:lineRule="exact"/>
        <w:ind w:firstLine="636"/>
        <w:rPr>
          <w:rFonts w:ascii="Times New Roman"/>
          <w:szCs w:val="32"/>
        </w:rPr>
      </w:pPr>
      <w:r w:rsidRPr="00BA5E49">
        <w:rPr>
          <w:rFonts w:ascii="Times New Roman"/>
          <w:szCs w:val="32"/>
        </w:rPr>
        <w:t>1</w:t>
      </w:r>
      <w:r>
        <w:rPr>
          <w:rFonts w:ascii="Times New Roman" w:hint="eastAsia"/>
          <w:szCs w:val="32"/>
        </w:rPr>
        <w:t xml:space="preserve">. </w:t>
      </w:r>
      <w:r w:rsidRPr="00BA5E49">
        <w:rPr>
          <w:rFonts w:ascii="Times New Roman"/>
          <w:szCs w:val="32"/>
        </w:rPr>
        <w:t>支持学位授予单位申请我省重点产业领域亟需发展的学位点和专业学位类别。特别在高端装备、航空航天、电子信息技术、新材料、节能与新能源汽车、生物医药及高性能医疗器械、新能源、节能环保、现代石化、现代冶金等重点领域，以及现代农业、海洋、网络安全等领域。</w:t>
      </w:r>
    </w:p>
    <w:p w:rsidR="001D32F2" w:rsidRPr="00BA5E49" w:rsidRDefault="001D32F2" w:rsidP="001D32F2">
      <w:pPr>
        <w:spacing w:line="560" w:lineRule="exact"/>
        <w:ind w:firstLine="636"/>
        <w:rPr>
          <w:rFonts w:ascii="Times New Roman"/>
          <w:szCs w:val="32"/>
        </w:rPr>
      </w:pPr>
      <w:r w:rsidRPr="00BA5E49">
        <w:rPr>
          <w:rFonts w:ascii="Times New Roman"/>
          <w:szCs w:val="32"/>
        </w:rPr>
        <w:t>2</w:t>
      </w:r>
      <w:r>
        <w:rPr>
          <w:rFonts w:ascii="Times New Roman" w:hint="eastAsia"/>
          <w:szCs w:val="32"/>
        </w:rPr>
        <w:t xml:space="preserve">. </w:t>
      </w:r>
      <w:r w:rsidRPr="00BA5E49">
        <w:rPr>
          <w:rFonts w:ascii="Times New Roman"/>
          <w:szCs w:val="32"/>
        </w:rPr>
        <w:t>支持学位授予单位申请马克思主义理论以及其他我省紧缺的哲学社会科学学位授权点。</w:t>
      </w:r>
    </w:p>
    <w:p w:rsidR="001D32F2" w:rsidRPr="00BA5E49" w:rsidRDefault="001D32F2" w:rsidP="001D32F2">
      <w:pPr>
        <w:spacing w:line="560" w:lineRule="exact"/>
        <w:ind w:firstLine="636"/>
        <w:rPr>
          <w:rFonts w:ascii="Times New Roman"/>
          <w:szCs w:val="32"/>
        </w:rPr>
      </w:pPr>
      <w:r w:rsidRPr="00BA5E49">
        <w:rPr>
          <w:rFonts w:ascii="Times New Roman"/>
          <w:szCs w:val="32"/>
        </w:rPr>
        <w:t>3</w:t>
      </w:r>
      <w:r>
        <w:rPr>
          <w:rFonts w:ascii="Times New Roman" w:hint="eastAsia"/>
          <w:szCs w:val="32"/>
        </w:rPr>
        <w:t xml:space="preserve">. </w:t>
      </w:r>
      <w:r w:rsidRPr="00BA5E49">
        <w:rPr>
          <w:rFonts w:ascii="Times New Roman"/>
          <w:szCs w:val="32"/>
        </w:rPr>
        <w:t>支持学位授予单位申请以培养应用型人才为主的专业学位类别。</w:t>
      </w:r>
    </w:p>
    <w:p w:rsidR="001D32F2" w:rsidRPr="00BA5E49" w:rsidRDefault="001D32F2" w:rsidP="001D32F2">
      <w:pPr>
        <w:spacing w:line="560" w:lineRule="exact"/>
        <w:ind w:firstLine="636"/>
        <w:rPr>
          <w:rFonts w:ascii="Times New Roman"/>
          <w:szCs w:val="32"/>
        </w:rPr>
      </w:pPr>
      <w:r w:rsidRPr="00BA5E49">
        <w:rPr>
          <w:rFonts w:ascii="Times New Roman"/>
          <w:szCs w:val="32"/>
        </w:rPr>
        <w:t>4</w:t>
      </w:r>
      <w:r>
        <w:rPr>
          <w:rFonts w:ascii="Times New Roman" w:hint="eastAsia"/>
          <w:szCs w:val="32"/>
        </w:rPr>
        <w:t xml:space="preserve">. </w:t>
      </w:r>
      <w:r w:rsidRPr="00BA5E49">
        <w:rPr>
          <w:rFonts w:ascii="Times New Roman"/>
          <w:szCs w:val="32"/>
        </w:rPr>
        <w:t>支持学位授予单位将二级学位授权点申报新增为一级学位授权点。</w:t>
      </w:r>
    </w:p>
    <w:p w:rsidR="001D32F2" w:rsidRPr="00BA5E49" w:rsidRDefault="001D32F2" w:rsidP="001D32F2">
      <w:pPr>
        <w:spacing w:line="560" w:lineRule="exact"/>
        <w:ind w:firstLineChars="200" w:firstLine="640"/>
        <w:rPr>
          <w:rFonts w:ascii="Times New Roman" w:eastAsia="黑体"/>
          <w:szCs w:val="32"/>
        </w:rPr>
      </w:pPr>
      <w:r w:rsidRPr="00BA5E49">
        <w:rPr>
          <w:rFonts w:ascii="Times New Roman" w:eastAsia="黑体" w:hAnsi="黑体"/>
          <w:szCs w:val="32"/>
        </w:rPr>
        <w:t>四、不受理或限制申请的学位点</w:t>
      </w:r>
    </w:p>
    <w:p w:rsidR="001D32F2" w:rsidRPr="00BA5E49" w:rsidRDefault="001D32F2" w:rsidP="001D32F2">
      <w:pPr>
        <w:spacing w:line="560" w:lineRule="exact"/>
        <w:ind w:firstLine="636"/>
        <w:rPr>
          <w:rFonts w:ascii="Times New Roman"/>
          <w:szCs w:val="32"/>
        </w:rPr>
      </w:pPr>
      <w:r w:rsidRPr="00BA5E49">
        <w:rPr>
          <w:rFonts w:ascii="Times New Roman"/>
          <w:szCs w:val="32"/>
        </w:rPr>
        <w:t>1</w:t>
      </w:r>
      <w:r>
        <w:rPr>
          <w:rFonts w:ascii="Times New Roman" w:hint="eastAsia"/>
          <w:szCs w:val="32"/>
        </w:rPr>
        <w:t xml:space="preserve">. </w:t>
      </w:r>
      <w:r w:rsidRPr="00BA5E49">
        <w:rPr>
          <w:rFonts w:ascii="Times New Roman"/>
          <w:szCs w:val="32"/>
        </w:rPr>
        <w:t>不受理军事类、公安类学位授权点申请。军事学门类一级学科授权点和军事硕士专业学位点，由中国人民解放军学位委员会审核，公安学、公安技术一级学科和警务硕士专业学位类别仅限公安类院校申请，须公安部同意。</w:t>
      </w:r>
    </w:p>
    <w:p w:rsidR="001D32F2" w:rsidRPr="00BA5E49" w:rsidRDefault="001D32F2" w:rsidP="001D32F2">
      <w:pPr>
        <w:spacing w:line="560" w:lineRule="exact"/>
        <w:ind w:firstLine="636"/>
        <w:rPr>
          <w:rFonts w:ascii="Times New Roman"/>
          <w:szCs w:val="32"/>
        </w:rPr>
      </w:pPr>
      <w:r w:rsidRPr="00BA5E49">
        <w:rPr>
          <w:rFonts w:ascii="Times New Roman"/>
          <w:szCs w:val="32"/>
        </w:rPr>
        <w:lastRenderedPageBreak/>
        <w:t>2</w:t>
      </w:r>
      <w:r>
        <w:rPr>
          <w:rFonts w:ascii="Times New Roman" w:hint="eastAsia"/>
          <w:szCs w:val="32"/>
        </w:rPr>
        <w:t xml:space="preserve">. </w:t>
      </w:r>
      <w:r w:rsidRPr="00BA5E49">
        <w:rPr>
          <w:rFonts w:ascii="Times New Roman"/>
          <w:szCs w:val="32"/>
        </w:rPr>
        <w:t>不受理国务院学位委员会予以撤销且自撤销之日起未满</w:t>
      </w:r>
      <w:r w:rsidRPr="00BA5E49">
        <w:rPr>
          <w:rFonts w:ascii="Times New Roman"/>
          <w:szCs w:val="32"/>
        </w:rPr>
        <w:t>5</w:t>
      </w:r>
      <w:r w:rsidRPr="00BA5E49">
        <w:rPr>
          <w:rFonts w:ascii="Times New Roman"/>
          <w:szCs w:val="32"/>
        </w:rPr>
        <w:t>年学位点的申请。</w:t>
      </w:r>
    </w:p>
    <w:p w:rsidR="001D32F2" w:rsidRPr="00BA5E49" w:rsidRDefault="001D32F2" w:rsidP="001D32F2">
      <w:pPr>
        <w:spacing w:line="560" w:lineRule="exact"/>
        <w:ind w:firstLine="636"/>
        <w:rPr>
          <w:rFonts w:ascii="Times New Roman"/>
          <w:szCs w:val="32"/>
        </w:rPr>
      </w:pPr>
      <w:r w:rsidRPr="00BA5E49">
        <w:rPr>
          <w:rFonts w:ascii="Times New Roman"/>
          <w:szCs w:val="32"/>
        </w:rPr>
        <w:t>3</w:t>
      </w:r>
      <w:r>
        <w:rPr>
          <w:rFonts w:ascii="Times New Roman" w:hint="eastAsia"/>
          <w:szCs w:val="32"/>
        </w:rPr>
        <w:t xml:space="preserve">. </w:t>
      </w:r>
      <w:r w:rsidRPr="00BA5E49">
        <w:rPr>
          <w:rFonts w:ascii="Times New Roman"/>
          <w:szCs w:val="32"/>
        </w:rPr>
        <w:t>不受理已获工程硕士（博士）领域学位授权的学位授予单位新增工程硕士（博士）专业学位类别的申请。</w:t>
      </w:r>
    </w:p>
    <w:p w:rsidR="001D32F2" w:rsidRPr="00BA5E49" w:rsidRDefault="001D32F2" w:rsidP="001D32F2">
      <w:pPr>
        <w:spacing w:line="560" w:lineRule="exact"/>
        <w:ind w:firstLine="636"/>
        <w:rPr>
          <w:rFonts w:ascii="Times New Roman"/>
          <w:szCs w:val="32"/>
        </w:rPr>
      </w:pPr>
      <w:r w:rsidRPr="00BA5E49">
        <w:rPr>
          <w:rFonts w:ascii="Times New Roman"/>
          <w:szCs w:val="32"/>
        </w:rPr>
        <w:t>4</w:t>
      </w:r>
      <w:r>
        <w:rPr>
          <w:rFonts w:ascii="Times New Roman" w:hint="eastAsia"/>
          <w:szCs w:val="32"/>
        </w:rPr>
        <w:t xml:space="preserve">. </w:t>
      </w:r>
      <w:r w:rsidRPr="00BA5E49">
        <w:rPr>
          <w:rFonts w:ascii="Times New Roman"/>
          <w:szCs w:val="32"/>
        </w:rPr>
        <w:t>限制高水平大学、高水平理工科大学以及省市共建高校申请与其重点建设方向契合度不高的学位点。</w:t>
      </w:r>
    </w:p>
    <w:p w:rsidR="001D32F2" w:rsidRPr="00BA5E49" w:rsidRDefault="001D32F2" w:rsidP="001D32F2">
      <w:pPr>
        <w:spacing w:line="560" w:lineRule="exact"/>
        <w:ind w:firstLine="636"/>
        <w:rPr>
          <w:rFonts w:ascii="Times New Roman"/>
          <w:szCs w:val="32"/>
        </w:rPr>
      </w:pPr>
      <w:r w:rsidRPr="00BA5E49">
        <w:rPr>
          <w:rFonts w:ascii="Times New Roman"/>
          <w:szCs w:val="32"/>
        </w:rPr>
        <w:t>5</w:t>
      </w:r>
      <w:r>
        <w:rPr>
          <w:rFonts w:ascii="Times New Roman" w:hint="eastAsia"/>
          <w:szCs w:val="32"/>
        </w:rPr>
        <w:t xml:space="preserve">. </w:t>
      </w:r>
      <w:r w:rsidRPr="00BA5E49">
        <w:rPr>
          <w:rFonts w:ascii="Times New Roman"/>
          <w:szCs w:val="32"/>
        </w:rPr>
        <w:t>适度控制医学、管理学等我省相对饱和的硕士一级学科学位点的申请。</w:t>
      </w:r>
    </w:p>
    <w:p w:rsidR="001D32F2" w:rsidRPr="00BA5E49" w:rsidRDefault="001D32F2" w:rsidP="001D32F2">
      <w:pPr>
        <w:spacing w:line="560" w:lineRule="exact"/>
        <w:ind w:firstLineChars="200" w:firstLine="640"/>
        <w:rPr>
          <w:rFonts w:ascii="Times New Roman"/>
          <w:szCs w:val="32"/>
        </w:rPr>
      </w:pPr>
      <w:r w:rsidRPr="00BA5E49">
        <w:rPr>
          <w:rFonts w:ascii="Times New Roman"/>
          <w:szCs w:val="32"/>
        </w:rPr>
        <w:t>6</w:t>
      </w:r>
      <w:r>
        <w:rPr>
          <w:rFonts w:ascii="Times New Roman" w:hint="eastAsia"/>
          <w:szCs w:val="32"/>
        </w:rPr>
        <w:t xml:space="preserve">. </w:t>
      </w:r>
      <w:r w:rsidRPr="00BA5E49">
        <w:rPr>
          <w:rFonts w:ascii="Times New Roman"/>
          <w:szCs w:val="32"/>
        </w:rPr>
        <w:t>暂停研究生招生规模较大且连续三年就业率低于</w:t>
      </w:r>
      <w:r w:rsidRPr="00BA5E49">
        <w:rPr>
          <w:rFonts w:ascii="Times New Roman"/>
          <w:szCs w:val="32"/>
        </w:rPr>
        <w:t>80%</w:t>
      </w:r>
      <w:r w:rsidRPr="00BA5E49">
        <w:rPr>
          <w:rFonts w:ascii="Times New Roman"/>
          <w:szCs w:val="32"/>
        </w:rPr>
        <w:t>的一级学科学位点或专业学位类别的申请。</w:t>
      </w:r>
    </w:p>
    <w:sectPr w:rsidR="001D32F2" w:rsidRPr="00BA5E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79" w:rsidRDefault="00161379" w:rsidP="001D32F2">
      <w:r>
        <w:separator/>
      </w:r>
    </w:p>
  </w:endnote>
  <w:endnote w:type="continuationSeparator" w:id="0">
    <w:p w:rsidR="00161379" w:rsidRDefault="00161379" w:rsidP="001D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8590"/>
      <w:docPartObj>
        <w:docPartGallery w:val="Page Numbers (Bottom of Page)"/>
        <w:docPartUnique/>
      </w:docPartObj>
    </w:sdtPr>
    <w:sdtContent>
      <w:p w:rsidR="001D32F2" w:rsidRDefault="001D32F2">
        <w:pPr>
          <w:pStyle w:val="a4"/>
          <w:jc w:val="center"/>
        </w:pPr>
        <w:r>
          <w:fldChar w:fldCharType="begin"/>
        </w:r>
        <w:r>
          <w:instrText>PAGE   \* MERGEFORMAT</w:instrText>
        </w:r>
        <w:r>
          <w:fldChar w:fldCharType="separate"/>
        </w:r>
        <w:r w:rsidRPr="001D32F2">
          <w:rPr>
            <w:noProof/>
            <w:lang w:val="zh-CN"/>
          </w:rPr>
          <w:t>1</w:t>
        </w:r>
        <w:r>
          <w:fldChar w:fldCharType="end"/>
        </w:r>
      </w:p>
    </w:sdtContent>
  </w:sdt>
  <w:p w:rsidR="001D32F2" w:rsidRDefault="001D32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79" w:rsidRDefault="00161379" w:rsidP="001D32F2">
      <w:r>
        <w:separator/>
      </w:r>
    </w:p>
  </w:footnote>
  <w:footnote w:type="continuationSeparator" w:id="0">
    <w:p w:rsidR="00161379" w:rsidRDefault="00161379" w:rsidP="001D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F2"/>
    <w:rsid w:val="000D129A"/>
    <w:rsid w:val="000D5AB7"/>
    <w:rsid w:val="000E6C63"/>
    <w:rsid w:val="00110079"/>
    <w:rsid w:val="00112778"/>
    <w:rsid w:val="00161379"/>
    <w:rsid w:val="00164303"/>
    <w:rsid w:val="00192ECC"/>
    <w:rsid w:val="001D32F2"/>
    <w:rsid w:val="001E1535"/>
    <w:rsid w:val="00242415"/>
    <w:rsid w:val="0026196B"/>
    <w:rsid w:val="002A68F2"/>
    <w:rsid w:val="002F1DC4"/>
    <w:rsid w:val="003A3540"/>
    <w:rsid w:val="003D4294"/>
    <w:rsid w:val="00416D81"/>
    <w:rsid w:val="004A3527"/>
    <w:rsid w:val="004B0FA9"/>
    <w:rsid w:val="004E4C03"/>
    <w:rsid w:val="0052353D"/>
    <w:rsid w:val="00542985"/>
    <w:rsid w:val="00546D34"/>
    <w:rsid w:val="00571212"/>
    <w:rsid w:val="005B5D25"/>
    <w:rsid w:val="005C10ED"/>
    <w:rsid w:val="005D6F41"/>
    <w:rsid w:val="00671AED"/>
    <w:rsid w:val="0068064C"/>
    <w:rsid w:val="00754272"/>
    <w:rsid w:val="007B266A"/>
    <w:rsid w:val="007C2BDC"/>
    <w:rsid w:val="00817FAF"/>
    <w:rsid w:val="008660AE"/>
    <w:rsid w:val="008959F6"/>
    <w:rsid w:val="008B5BB9"/>
    <w:rsid w:val="008F6F9E"/>
    <w:rsid w:val="009136DE"/>
    <w:rsid w:val="00987BB2"/>
    <w:rsid w:val="009B5BFD"/>
    <w:rsid w:val="009F6549"/>
    <w:rsid w:val="00A6652C"/>
    <w:rsid w:val="00AC3CEE"/>
    <w:rsid w:val="00AF2C94"/>
    <w:rsid w:val="00B15B98"/>
    <w:rsid w:val="00B554AE"/>
    <w:rsid w:val="00B562DF"/>
    <w:rsid w:val="00B652CD"/>
    <w:rsid w:val="00B8711C"/>
    <w:rsid w:val="00BC1EAE"/>
    <w:rsid w:val="00BE32D2"/>
    <w:rsid w:val="00BE4BC2"/>
    <w:rsid w:val="00BF31FD"/>
    <w:rsid w:val="00C305D7"/>
    <w:rsid w:val="00C341ED"/>
    <w:rsid w:val="00C577D8"/>
    <w:rsid w:val="00C96BCC"/>
    <w:rsid w:val="00D30CB6"/>
    <w:rsid w:val="00D44BB0"/>
    <w:rsid w:val="00D56C7B"/>
    <w:rsid w:val="00D701C6"/>
    <w:rsid w:val="00DA0635"/>
    <w:rsid w:val="00DA5E2E"/>
    <w:rsid w:val="00DC2142"/>
    <w:rsid w:val="00E10E62"/>
    <w:rsid w:val="00E77C34"/>
    <w:rsid w:val="00FA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F2"/>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32F2"/>
    <w:rPr>
      <w:rFonts w:ascii="仿宋_GB2312" w:eastAsia="仿宋_GB2312" w:hAnsi="Times New Roman" w:cs="Times New Roman"/>
      <w:sz w:val="18"/>
      <w:szCs w:val="18"/>
    </w:rPr>
  </w:style>
  <w:style w:type="paragraph" w:styleId="a4">
    <w:name w:val="footer"/>
    <w:basedOn w:val="a"/>
    <w:link w:val="Char0"/>
    <w:uiPriority w:val="99"/>
    <w:unhideWhenUsed/>
    <w:rsid w:val="001D32F2"/>
    <w:pPr>
      <w:tabs>
        <w:tab w:val="center" w:pos="4153"/>
        <w:tab w:val="right" w:pos="8306"/>
      </w:tabs>
      <w:snapToGrid w:val="0"/>
      <w:jc w:val="left"/>
    </w:pPr>
    <w:rPr>
      <w:sz w:val="18"/>
      <w:szCs w:val="18"/>
    </w:rPr>
  </w:style>
  <w:style w:type="character" w:customStyle="1" w:styleId="Char0">
    <w:name w:val="页脚 Char"/>
    <w:basedOn w:val="a0"/>
    <w:link w:val="a4"/>
    <w:uiPriority w:val="99"/>
    <w:rsid w:val="001D32F2"/>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F2"/>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32F2"/>
    <w:rPr>
      <w:rFonts w:ascii="仿宋_GB2312" w:eastAsia="仿宋_GB2312" w:hAnsi="Times New Roman" w:cs="Times New Roman"/>
      <w:sz w:val="18"/>
      <w:szCs w:val="18"/>
    </w:rPr>
  </w:style>
  <w:style w:type="paragraph" w:styleId="a4">
    <w:name w:val="footer"/>
    <w:basedOn w:val="a"/>
    <w:link w:val="Char0"/>
    <w:uiPriority w:val="99"/>
    <w:unhideWhenUsed/>
    <w:rsid w:val="001D32F2"/>
    <w:pPr>
      <w:tabs>
        <w:tab w:val="center" w:pos="4153"/>
        <w:tab w:val="right" w:pos="8306"/>
      </w:tabs>
      <w:snapToGrid w:val="0"/>
      <w:jc w:val="left"/>
    </w:pPr>
    <w:rPr>
      <w:sz w:val="18"/>
      <w:szCs w:val="18"/>
    </w:rPr>
  </w:style>
  <w:style w:type="character" w:customStyle="1" w:styleId="Char0">
    <w:name w:val="页脚 Char"/>
    <w:basedOn w:val="a0"/>
    <w:link w:val="a4"/>
    <w:uiPriority w:val="99"/>
    <w:rsid w:val="001D32F2"/>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谢琦</dc:creator>
  <cp:lastModifiedBy>谢琦</cp:lastModifiedBy>
  <cp:revision>1</cp:revision>
  <dcterms:created xsi:type="dcterms:W3CDTF">2017-06-12T07:21:00Z</dcterms:created>
  <dcterms:modified xsi:type="dcterms:W3CDTF">2017-06-12T07:22:00Z</dcterms:modified>
</cp:coreProperties>
</file>