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E5E8C">
      <w:pPr>
        <w:keepNext/>
        <w:keepLines w:val="0"/>
        <w:pageBreakBefore w:val="0"/>
        <w:widowControl/>
        <w:kinsoku/>
        <w:wordWrap/>
        <w:overflowPunct/>
        <w:topLinePunct w:val="0"/>
        <w:autoSpaceDE/>
        <w:autoSpaceDN/>
        <w:bidi w:val="0"/>
        <w:adjustRightInd w:val="0"/>
        <w:snapToGrid w:val="0"/>
        <w:spacing w:line="720" w:lineRule="exact"/>
        <w:jc w:val="center"/>
        <w:textAlignment w:val="auto"/>
        <w:rPr>
          <w:rFonts w:hint="eastAsia" w:ascii="方正小标宋简体" w:hAnsi="方正小标宋简体" w:eastAsia="方正小标宋简体" w:cs="方正小标宋简体"/>
          <w:b/>
          <w:bCs/>
          <w:sz w:val="44"/>
          <w:szCs w:val="22"/>
          <w:highlight w:val="none"/>
        </w:rPr>
      </w:pPr>
      <w:r>
        <w:rPr>
          <w:rFonts w:hint="eastAsia" w:ascii="方正小标宋简体" w:hAnsi="方正小标宋简体" w:eastAsia="方正小标宋简体" w:cs="方正小标宋简体"/>
          <w:b/>
          <w:bCs/>
          <w:kern w:val="0"/>
          <w:sz w:val="44"/>
          <w:szCs w:val="22"/>
          <w:highlight w:val="none"/>
          <w:lang w:bidi="ar"/>
        </w:rPr>
        <w:t>广东财经大学直接攻读博士学位研究生及硕博连读研究生选拔与培养工作方案（</w:t>
      </w:r>
      <w:r>
        <w:rPr>
          <w:rFonts w:hint="eastAsia" w:ascii="方正小标宋简体" w:hAnsi="方正小标宋简体" w:eastAsia="方正小标宋简体" w:cs="方正小标宋简体"/>
          <w:b/>
          <w:bCs/>
          <w:kern w:val="0"/>
          <w:sz w:val="44"/>
          <w:szCs w:val="22"/>
          <w:highlight w:val="none"/>
          <w:lang w:val="en-US" w:eastAsia="zh-CN" w:bidi="ar"/>
        </w:rPr>
        <w:t>试行</w:t>
      </w:r>
      <w:r>
        <w:rPr>
          <w:rFonts w:hint="eastAsia" w:ascii="方正小标宋简体" w:hAnsi="方正小标宋简体" w:eastAsia="方正小标宋简体" w:cs="方正小标宋简体"/>
          <w:b/>
          <w:bCs/>
          <w:kern w:val="0"/>
          <w:sz w:val="44"/>
          <w:szCs w:val="22"/>
          <w:highlight w:val="none"/>
          <w:lang w:bidi="ar"/>
        </w:rPr>
        <w:t>）</w:t>
      </w:r>
    </w:p>
    <w:p w14:paraId="5573CC2F">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rFonts w:hint="eastAsia" w:ascii="黑体" w:hAnsi="宋体" w:eastAsia="黑体" w:cs="黑体"/>
          <w:color w:val="auto"/>
          <w:highlight w:val="none"/>
        </w:rPr>
      </w:pPr>
      <w:bookmarkStart w:id="1" w:name="_GoBack"/>
      <w:bookmarkEnd w:id="1"/>
    </w:p>
    <w:p w14:paraId="2CFDCF51">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color w:val="auto"/>
          <w:highlight w:val="none"/>
        </w:rPr>
      </w:pPr>
      <w:r>
        <w:rPr>
          <w:rFonts w:hint="eastAsia" w:ascii="黑体" w:hAnsi="宋体" w:eastAsia="黑体" w:cs="黑体"/>
          <w:color w:val="auto"/>
          <w:highlight w:val="none"/>
        </w:rPr>
        <w:t>一、总则</w:t>
      </w:r>
    </w:p>
    <w:p w14:paraId="20072195">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rFonts w:cs="仿宋_GB2312"/>
          <w:highlight w:val="none"/>
        </w:rPr>
        <w:t>为深化博士研究生招生培养机制改革</w:t>
      </w:r>
      <w:r>
        <w:rPr>
          <w:highlight w:val="none"/>
        </w:rPr>
        <w:t>，优化博士研究生生源结构，根据《中华人民共和国学位法》《普通高等学校学生管理规定》以及教育部关于博士研究生招生和推荐免试工作的有关规定，结合学校实际，制定本方案。</w:t>
      </w:r>
    </w:p>
    <w:p w14:paraId="4CA00BB9">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直接攻读博士学位研究生</w:t>
      </w:r>
      <w:r>
        <w:rPr>
          <w:rFonts w:cs="仿宋_GB2312"/>
          <w:highlight w:val="none"/>
        </w:rPr>
        <w:t>（以下简称“直博生”），是指学校从取得推荐免试资格的优秀应届本科毕业生中，直接录取为博士研究生，并按照博士研究生培养要求实行长周期贯通培养的研究生。</w:t>
      </w:r>
    </w:p>
    <w:p w14:paraId="32EE93B2">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硕博连读研究生，是指学校从本校全日制非定向就业硕士研究生中，择优选拔符合条件者转入博士研究生阶段连续培养的研究生。</w:t>
      </w:r>
      <w:r>
        <w:rPr>
          <w:rFonts w:cs="仿宋_GB2312"/>
          <w:highlight w:val="none"/>
        </w:rPr>
        <w:t>分为“1+4”（硕士阶段1年、博士阶段4年）、“2+3”（硕士阶段2年、博士阶段3年）两种模式。</w:t>
      </w:r>
    </w:p>
    <w:p w14:paraId="05A4E531">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直博和硕博连读工作坚持立德树人</w:t>
      </w:r>
      <w:r>
        <w:rPr>
          <w:rFonts w:cs="仿宋_GB2312"/>
          <w:highlight w:val="none"/>
        </w:rPr>
        <w:t>、服务需求、择优录取、宁缺毋滥的原则，保障程序公开、公平、公正。</w:t>
      </w:r>
    </w:p>
    <w:p w14:paraId="21F92DE4">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本方案适用于学校具有博士学位授予权的学科专业</w:t>
      </w:r>
      <w:r>
        <w:rPr>
          <w:rFonts w:cs="仿宋_GB2312"/>
          <w:highlight w:val="none"/>
        </w:rPr>
        <w:t>。招生学科专业、研究方向、导师及计划以学校当年度公布的招生目录和通知为准。</w:t>
      </w:r>
    </w:p>
    <w:p w14:paraId="6F625A4B">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snapToGrid w:val="0"/>
          <w:color w:val="auto"/>
          <w:highlight w:val="none"/>
        </w:rPr>
      </w:pPr>
      <w:r>
        <w:rPr>
          <w:rFonts w:hint="eastAsia" w:ascii="黑体" w:hAnsi="宋体" w:eastAsia="黑体" w:cs="黑体"/>
          <w:color w:val="auto"/>
          <w:highlight w:val="none"/>
        </w:rPr>
        <w:t>二、组织领导与职责</w:t>
      </w:r>
    </w:p>
    <w:p w14:paraId="2B2EE09D">
      <w:pPr>
        <w:pStyle w:val="4"/>
        <w:pageBreakBefore w:val="0"/>
        <w:widowControl/>
        <w:numPr>
          <w:ilvl w:val="0"/>
          <w:numId w:val="2"/>
        </w:numPr>
        <w:kinsoku/>
        <w:wordWrap/>
        <w:overflowPunct/>
        <w:topLinePunct w:val="0"/>
        <w:autoSpaceDE/>
        <w:autoSpaceDN/>
        <w:bidi w:val="0"/>
        <w:adjustRightInd w:val="0"/>
        <w:snapToGrid w:val="0"/>
        <w:spacing w:line="560" w:lineRule="exact"/>
        <w:ind w:firstLine="720"/>
        <w:textAlignment w:val="auto"/>
        <w:rPr>
          <w:highlight w:val="none"/>
        </w:rPr>
      </w:pPr>
      <w:r>
        <w:rPr>
          <w:highlight w:val="none"/>
        </w:rPr>
        <w:t>学校博士研究生招生工作领导小组统筹领导直博和硕博连读选拔工作</w:t>
      </w:r>
      <w:r>
        <w:rPr>
          <w:rFonts w:cs="仿宋_GB2312"/>
          <w:highlight w:val="none"/>
        </w:rPr>
        <w:t>，审定年度工作安排、招生计划和拟录取名单，研究处理重大事项。</w:t>
      </w:r>
    </w:p>
    <w:p w14:paraId="406BBA22">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rFonts w:cs="仿宋_GB2312"/>
          <w:highlight w:val="none"/>
        </w:rPr>
        <w:t>开展直博或硕博连读工作的培养单位按一级学科成立由学科主要负责人任组长的工作小组，负责制定并公布本学科实施细则</w:t>
      </w:r>
      <w:r>
        <w:rPr>
          <w:highlight w:val="none"/>
        </w:rPr>
        <w:t>和贯通培养方案</w:t>
      </w:r>
      <w:r>
        <w:rPr>
          <w:rFonts w:cs="仿宋_GB2312"/>
          <w:highlight w:val="none"/>
        </w:rPr>
        <w:t>，组织资格审查、综合考核、拟录取推荐等工作。</w:t>
      </w:r>
      <w:r>
        <w:rPr>
          <w:rFonts w:cs="仿宋_GB2312"/>
          <w:szCs w:val="32"/>
          <w:highlight w:val="none"/>
          <w:lang w:bidi="ar"/>
        </w:rPr>
        <w:t>实施细则应包括选拔标准与程序、资格考核内容与方式、回避机制、退出机制、招收直博、硕博连读博士研究生导师的条件等。培养方案应包括学时学分、课程设置、开题报告、学术训练与科研要求、学位论文工作等方面的相关要求。</w:t>
      </w:r>
    </w:p>
    <w:p w14:paraId="7FD06EAF">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培养单位在工作小组领导下，成立遴选委员会，下设若干初审专家组和考核专家组。初审专家组由具有副高以上职称或具有博士生指导资格的教师组成，成员不少于5人。</w:t>
      </w:r>
      <w:r>
        <w:rPr>
          <w:rFonts w:cs="仿宋_GB2312"/>
          <w:highlight w:val="none"/>
        </w:rPr>
        <w:t>考核专家组由具有正高职称或具有博士研究生导师资格的教师组成，成员不少于5人。专家与申请人存在亲属、师生利益关联或其他可能影响公正情形的，应当主动回避。</w:t>
      </w:r>
    </w:p>
    <w:p w14:paraId="7A332296">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color w:val="auto"/>
          <w:highlight w:val="none"/>
        </w:rPr>
      </w:pPr>
      <w:r>
        <w:rPr>
          <w:rFonts w:hint="eastAsia" w:ascii="黑体" w:hAnsi="宋体" w:eastAsia="黑体" w:cs="黑体"/>
          <w:color w:val="auto"/>
          <w:highlight w:val="none"/>
        </w:rPr>
        <w:t>三、招生学科、计划与导师条件</w:t>
      </w:r>
    </w:p>
    <w:p w14:paraId="16C2CDCE">
      <w:pPr>
        <w:pStyle w:val="4"/>
        <w:pageBreakBefore w:val="0"/>
        <w:widowControl/>
        <w:numPr>
          <w:ilvl w:val="0"/>
          <w:numId w:val="3"/>
        </w:numPr>
        <w:kinsoku/>
        <w:wordWrap/>
        <w:overflowPunct/>
        <w:topLinePunct w:val="0"/>
        <w:autoSpaceDE/>
        <w:autoSpaceDN/>
        <w:bidi w:val="0"/>
        <w:adjustRightInd w:val="0"/>
        <w:snapToGrid w:val="0"/>
        <w:spacing w:line="560" w:lineRule="exact"/>
        <w:ind w:firstLine="720"/>
        <w:textAlignment w:val="auto"/>
        <w:rPr>
          <w:highlight w:val="none"/>
        </w:rPr>
      </w:pPr>
      <w:r>
        <w:rPr>
          <w:rFonts w:cs="仿宋_GB2312"/>
          <w:highlight w:val="none"/>
        </w:rPr>
        <w:t>开展直博、硕博连读工作的学科专业必须是我校具有博士学位授予权的学科专业。</w:t>
      </w:r>
    </w:p>
    <w:p w14:paraId="4A5E0E4F">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直博生和硕博连读生均纳入学校年度博士研究生招生计划，占用培养单位和接收导师当年度博士招生计划。具体名额由学校根据上级下达计划、生源质量、培养条件和学科建设需要统筹确定。</w:t>
      </w:r>
    </w:p>
    <w:p w14:paraId="1557C890">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接收直博生的导师应政治素质过硬、师德师风高尚、培养精力充沛，具有当年度博士研究生招生资格，且至少取得以下业绩之一：</w:t>
      </w:r>
    </w:p>
    <w:p w14:paraId="63B60A50">
      <w:pPr>
        <w:pStyle w:val="4"/>
        <w:pageBreakBefore w:val="0"/>
        <w:widowControl/>
        <w:numPr>
          <w:ilvl w:val="0"/>
          <w:numId w:val="4"/>
        </w:numPr>
        <w:kinsoku/>
        <w:wordWrap/>
        <w:overflowPunct/>
        <w:topLinePunct w:val="0"/>
        <w:autoSpaceDE/>
        <w:autoSpaceDN/>
        <w:bidi w:val="0"/>
        <w:adjustRightInd w:val="0"/>
        <w:snapToGrid w:val="0"/>
        <w:spacing w:line="560" w:lineRule="exact"/>
        <w:ind w:left="0" w:leftChars="0" w:firstLine="640" w:firstLineChars="200"/>
        <w:textAlignment w:val="auto"/>
        <w:rPr>
          <w:highlight w:val="none"/>
        </w:rPr>
      </w:pPr>
      <w:r>
        <w:rPr>
          <w:highlight w:val="none"/>
        </w:rPr>
        <w:t>在研国家级重大重点项目；</w:t>
      </w:r>
    </w:p>
    <w:p w14:paraId="59B67C46">
      <w:pPr>
        <w:pStyle w:val="4"/>
        <w:pageBreakBefore w:val="0"/>
        <w:widowControl/>
        <w:numPr>
          <w:ilvl w:val="0"/>
          <w:numId w:val="4"/>
        </w:numPr>
        <w:kinsoku/>
        <w:wordWrap/>
        <w:overflowPunct/>
        <w:topLinePunct w:val="0"/>
        <w:autoSpaceDE/>
        <w:autoSpaceDN/>
        <w:bidi w:val="0"/>
        <w:adjustRightInd w:val="0"/>
        <w:snapToGrid w:val="0"/>
        <w:spacing w:line="560" w:lineRule="exact"/>
        <w:ind w:left="0" w:leftChars="0" w:firstLine="640" w:firstLineChars="200"/>
        <w:textAlignment w:val="auto"/>
        <w:rPr>
          <w:highlight w:val="none"/>
        </w:rPr>
      </w:pPr>
      <w:r>
        <w:rPr>
          <w:highlight w:val="none"/>
        </w:rPr>
        <w:t>近五年在A类期刊发表论文1篇；</w:t>
      </w:r>
    </w:p>
    <w:p w14:paraId="48CA61C5">
      <w:pPr>
        <w:pStyle w:val="4"/>
        <w:pageBreakBefore w:val="0"/>
        <w:widowControl/>
        <w:numPr>
          <w:ilvl w:val="0"/>
          <w:numId w:val="4"/>
        </w:numPr>
        <w:kinsoku/>
        <w:wordWrap/>
        <w:overflowPunct/>
        <w:topLinePunct w:val="0"/>
        <w:autoSpaceDE/>
        <w:autoSpaceDN/>
        <w:bidi w:val="0"/>
        <w:adjustRightInd w:val="0"/>
        <w:snapToGrid w:val="0"/>
        <w:spacing w:line="560" w:lineRule="exact"/>
        <w:ind w:left="0" w:leftChars="0" w:firstLine="640" w:firstLineChars="200"/>
        <w:textAlignment w:val="auto"/>
        <w:rPr>
          <w:highlight w:val="none"/>
        </w:rPr>
      </w:pPr>
      <w:r>
        <w:rPr>
          <w:highlight w:val="none"/>
        </w:rPr>
        <w:t>入选国家级人才计划，并在人才项目建设期内。</w:t>
      </w:r>
    </w:p>
    <w:p w14:paraId="1715A254">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接收硕博连读的导师应政治素质过硬、师德师风高尚、科研能力强、培养精力充沛，具有当年度博士研究生招生资格。</w:t>
      </w:r>
    </w:p>
    <w:p w14:paraId="3401293D">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以上科研业绩均需与拟招生学科方向基本一致。</w:t>
      </w:r>
    </w:p>
    <w:p w14:paraId="2B97CFE5">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各培养单位制定的导师条件应不低于本节所述条件（三）和（四）。</w:t>
      </w:r>
    </w:p>
    <w:p w14:paraId="7A0F49A6">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highlight w:val="none"/>
        </w:rPr>
        <w:t>每名导师每年度原则上接收直博生不超过1名。</w:t>
      </w:r>
    </w:p>
    <w:p w14:paraId="37894DC1">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color w:val="auto"/>
          <w:highlight w:val="none"/>
        </w:rPr>
      </w:pPr>
      <w:r>
        <w:rPr>
          <w:rFonts w:hint="eastAsia" w:ascii="黑体" w:hAnsi="宋体" w:eastAsia="黑体" w:cs="黑体"/>
          <w:color w:val="auto"/>
          <w:highlight w:val="none"/>
        </w:rPr>
        <w:t>四、申请条件</w:t>
      </w:r>
    </w:p>
    <w:p w14:paraId="2978C70C">
      <w:pPr>
        <w:pStyle w:val="3"/>
        <w:pageBreakBefore w:val="0"/>
        <w:widowControl/>
        <w:kinsoku/>
        <w:wordWrap/>
        <w:overflowPunct/>
        <w:topLinePunct w:val="0"/>
        <w:autoSpaceDE/>
        <w:autoSpaceDN/>
        <w:bidi w:val="0"/>
        <w:adjustRightInd w:val="0"/>
        <w:snapToGrid w:val="0"/>
        <w:spacing w:before="0" w:after="0" w:line="560" w:lineRule="exact"/>
        <w:ind w:firstLine="640" w:firstLineChars="200"/>
        <w:textAlignment w:val="auto"/>
        <w:rPr>
          <w:rFonts w:ascii="仿宋_GB2312" w:eastAsia="仿宋_GB2312" w:cs="仿宋_GB2312"/>
          <w:b w:val="0"/>
          <w:bCs w:val="0"/>
          <w:color w:val="auto"/>
          <w:highlight w:val="none"/>
        </w:rPr>
      </w:pPr>
      <w:r>
        <w:rPr>
          <w:rFonts w:hint="eastAsia" w:ascii="仿宋_GB2312" w:hAnsi="楷体_GB2312" w:eastAsia="仿宋_GB2312" w:cs="楷体_GB2312"/>
          <w:b w:val="0"/>
          <w:bCs w:val="0"/>
          <w:color w:val="auto"/>
          <w:highlight w:val="none"/>
        </w:rPr>
        <w:t>（一）直博生申请条件</w:t>
      </w:r>
    </w:p>
    <w:p w14:paraId="1978DA59">
      <w:pPr>
        <w:pStyle w:val="4"/>
        <w:pageBreakBefore w:val="0"/>
        <w:widowControl/>
        <w:numPr>
          <w:ilvl w:val="0"/>
          <w:numId w:val="5"/>
        </w:numPr>
        <w:kinsoku/>
        <w:wordWrap/>
        <w:overflowPunct/>
        <w:topLinePunct w:val="0"/>
        <w:autoSpaceDE/>
        <w:autoSpaceDN/>
        <w:bidi w:val="0"/>
        <w:adjustRightInd w:val="0"/>
        <w:snapToGrid w:val="0"/>
        <w:spacing w:line="560" w:lineRule="exact"/>
        <w:textAlignment w:val="auto"/>
        <w:rPr>
          <w:highlight w:val="none"/>
        </w:rPr>
      </w:pPr>
      <w:r>
        <w:rPr>
          <w:highlight w:val="none"/>
        </w:rPr>
        <w:t>中华人民共和国公民，拥护中国共产党领导，遵纪守法，诚实守信，品行端正，身心健康。</w:t>
      </w:r>
    </w:p>
    <w:p w14:paraId="4C5D4AA5">
      <w:pPr>
        <w:pStyle w:val="4"/>
        <w:pageBreakBefore w:val="0"/>
        <w:widowControl/>
        <w:numPr>
          <w:ilvl w:val="0"/>
          <w:numId w:val="5"/>
        </w:numPr>
        <w:kinsoku/>
        <w:wordWrap/>
        <w:overflowPunct/>
        <w:topLinePunct w:val="0"/>
        <w:autoSpaceDE/>
        <w:autoSpaceDN/>
        <w:bidi w:val="0"/>
        <w:adjustRightInd w:val="0"/>
        <w:snapToGrid w:val="0"/>
        <w:spacing w:line="560" w:lineRule="exact"/>
        <w:textAlignment w:val="auto"/>
        <w:rPr>
          <w:highlight w:val="none"/>
        </w:rPr>
      </w:pPr>
      <w:r>
        <w:rPr>
          <w:highlight w:val="none"/>
        </w:rPr>
        <w:t>申请人必须是具有推荐免试权的高校应届本科毕业生，并获得所就读学校的推荐免试资格；最终推荐资格及录取结果以教育部“推免服务系统”备案信息为准。</w:t>
      </w:r>
    </w:p>
    <w:p w14:paraId="32056C44">
      <w:pPr>
        <w:pStyle w:val="4"/>
        <w:pageBreakBefore w:val="0"/>
        <w:widowControl/>
        <w:numPr>
          <w:ilvl w:val="0"/>
          <w:numId w:val="5"/>
        </w:numPr>
        <w:kinsoku/>
        <w:wordWrap/>
        <w:overflowPunct/>
        <w:topLinePunct w:val="0"/>
        <w:autoSpaceDE/>
        <w:autoSpaceDN/>
        <w:bidi w:val="0"/>
        <w:adjustRightInd w:val="0"/>
        <w:snapToGrid w:val="0"/>
        <w:spacing w:line="560" w:lineRule="exact"/>
        <w:textAlignment w:val="auto"/>
        <w:rPr>
          <w:highlight w:val="none"/>
        </w:rPr>
      </w:pPr>
      <w:r>
        <w:rPr>
          <w:highlight w:val="none"/>
        </w:rPr>
        <w:t>本科阶段学习成绩优良，专业基础扎实，具有浓厚的学术兴趣、较强的创新意识、科研潜质和独立研究能力。申请专业原则上应与本科专业相同、相近或具有合理的学科关联；跨学科申请人须按培养单位要求补修基础课程。</w:t>
      </w:r>
    </w:p>
    <w:p w14:paraId="15173BC1">
      <w:pPr>
        <w:pStyle w:val="4"/>
        <w:pageBreakBefore w:val="0"/>
        <w:widowControl/>
        <w:numPr>
          <w:ilvl w:val="0"/>
          <w:numId w:val="5"/>
        </w:numPr>
        <w:kinsoku/>
        <w:wordWrap/>
        <w:overflowPunct/>
        <w:topLinePunct w:val="0"/>
        <w:autoSpaceDE/>
        <w:autoSpaceDN/>
        <w:bidi w:val="0"/>
        <w:adjustRightInd w:val="0"/>
        <w:snapToGrid w:val="0"/>
        <w:spacing w:line="560" w:lineRule="exact"/>
        <w:textAlignment w:val="auto"/>
        <w:rPr>
          <w:highlight w:val="none"/>
        </w:rPr>
      </w:pPr>
      <w:r>
        <w:rPr>
          <w:highlight w:val="none"/>
        </w:rPr>
        <w:t>外语水平原则上达到下列条件之一：全国大学英语六级425分及以上；英语专业四级合格及以上；雅思6.0分及以上；托福80分及以上（科研成果和科研潜质特别突出的申请人，经培养单位认定后，可不受英语成绩限制）。</w:t>
      </w:r>
    </w:p>
    <w:p w14:paraId="375C26CB">
      <w:pPr>
        <w:pStyle w:val="4"/>
        <w:pageBreakBefore w:val="0"/>
        <w:widowControl/>
        <w:numPr>
          <w:ilvl w:val="0"/>
          <w:numId w:val="5"/>
        </w:numPr>
        <w:kinsoku/>
        <w:wordWrap/>
        <w:overflowPunct/>
        <w:topLinePunct w:val="0"/>
        <w:autoSpaceDE/>
        <w:autoSpaceDN/>
        <w:bidi w:val="0"/>
        <w:adjustRightInd w:val="0"/>
        <w:snapToGrid w:val="0"/>
        <w:spacing w:line="560" w:lineRule="exact"/>
        <w:textAlignment w:val="auto"/>
        <w:rPr>
          <w:highlight w:val="none"/>
        </w:rPr>
      </w:pPr>
      <w:r>
        <w:rPr>
          <w:highlight w:val="none"/>
        </w:rPr>
        <w:t>获得拟接收导师同意，并有2</w:t>
      </w:r>
      <w:bookmarkStart w:id="0" w:name="OLE_LINK3"/>
      <w:r>
        <w:rPr>
          <w:highlight w:val="none"/>
        </w:rPr>
        <w:t>名与申请学科相关的教授</w:t>
      </w:r>
      <w:bookmarkEnd w:id="0"/>
      <w:r>
        <w:rPr>
          <w:highlight w:val="none"/>
        </w:rPr>
        <w:t>（或相当专业技术职务，不含拟接收导师）书面推荐。</w:t>
      </w:r>
    </w:p>
    <w:p w14:paraId="6548FEC1">
      <w:pPr>
        <w:pStyle w:val="4"/>
        <w:pageBreakBefore w:val="0"/>
        <w:widowControl/>
        <w:numPr>
          <w:ilvl w:val="0"/>
          <w:numId w:val="5"/>
        </w:numPr>
        <w:kinsoku/>
        <w:wordWrap/>
        <w:overflowPunct/>
        <w:topLinePunct w:val="0"/>
        <w:autoSpaceDE/>
        <w:autoSpaceDN/>
        <w:bidi w:val="0"/>
        <w:adjustRightInd w:val="0"/>
        <w:snapToGrid w:val="0"/>
        <w:spacing w:line="560" w:lineRule="exact"/>
        <w:textAlignment w:val="auto"/>
        <w:rPr>
          <w:highlight w:val="none"/>
        </w:rPr>
      </w:pPr>
      <w:r>
        <w:rPr>
          <w:highlight w:val="none"/>
        </w:rPr>
        <w:t>符合国家、</w:t>
      </w:r>
      <w:r>
        <w:rPr>
          <w:rFonts w:cs="仿宋_GB2312"/>
          <w:highlight w:val="none"/>
        </w:rPr>
        <w:t>学校以及培养单位年度实施细则规定的其他条件。</w:t>
      </w:r>
    </w:p>
    <w:p w14:paraId="3C62171E">
      <w:pPr>
        <w:pStyle w:val="3"/>
        <w:pageBreakBefore w:val="0"/>
        <w:widowControl/>
        <w:kinsoku/>
        <w:wordWrap/>
        <w:overflowPunct/>
        <w:topLinePunct w:val="0"/>
        <w:autoSpaceDE/>
        <w:autoSpaceDN/>
        <w:bidi w:val="0"/>
        <w:adjustRightInd w:val="0"/>
        <w:snapToGrid w:val="0"/>
        <w:spacing w:before="0" w:after="0" w:line="560" w:lineRule="exact"/>
        <w:ind w:firstLine="640" w:firstLineChars="200"/>
        <w:textAlignment w:val="auto"/>
        <w:rPr>
          <w:rFonts w:ascii="仿宋_GB2312" w:eastAsia="仿宋_GB2312" w:cs="仿宋_GB2312"/>
          <w:b w:val="0"/>
          <w:bCs w:val="0"/>
          <w:color w:val="auto"/>
          <w:highlight w:val="none"/>
        </w:rPr>
      </w:pPr>
      <w:r>
        <w:rPr>
          <w:rFonts w:hint="eastAsia" w:ascii="仿宋_GB2312" w:hAnsi="楷体_GB2312" w:eastAsia="仿宋_GB2312" w:cs="楷体_GB2312"/>
          <w:b w:val="0"/>
          <w:bCs w:val="0"/>
          <w:color w:val="auto"/>
          <w:highlight w:val="none"/>
        </w:rPr>
        <w:t>（二）硕博连读申请条件</w:t>
      </w:r>
    </w:p>
    <w:p w14:paraId="1A1DAE0C">
      <w:pPr>
        <w:pStyle w:val="4"/>
        <w:pageBreakBefore w:val="0"/>
        <w:widowControl/>
        <w:numPr>
          <w:ilvl w:val="0"/>
          <w:numId w:val="6"/>
        </w:numPr>
        <w:kinsoku/>
        <w:wordWrap/>
        <w:overflowPunct/>
        <w:topLinePunct w:val="0"/>
        <w:autoSpaceDE/>
        <w:autoSpaceDN/>
        <w:bidi w:val="0"/>
        <w:adjustRightInd w:val="0"/>
        <w:snapToGrid w:val="0"/>
        <w:spacing w:line="560" w:lineRule="exact"/>
        <w:textAlignment w:val="auto"/>
        <w:rPr>
          <w:highlight w:val="none"/>
        </w:rPr>
      </w:pPr>
      <w:r>
        <w:rPr>
          <w:highlight w:val="none"/>
        </w:rPr>
        <w:t>为学校全日制非定向就业硕士研究生，思想政治素质和品德良好，身心健康，无学术不端、考试作弊及其他违法违纪记录。</w:t>
      </w:r>
    </w:p>
    <w:p w14:paraId="7FAAB528">
      <w:pPr>
        <w:pStyle w:val="4"/>
        <w:pageBreakBefore w:val="0"/>
        <w:widowControl/>
        <w:numPr>
          <w:ilvl w:val="0"/>
          <w:numId w:val="6"/>
        </w:numPr>
        <w:kinsoku/>
        <w:wordWrap/>
        <w:overflowPunct/>
        <w:topLinePunct w:val="0"/>
        <w:autoSpaceDE/>
        <w:autoSpaceDN/>
        <w:bidi w:val="0"/>
        <w:adjustRightInd w:val="0"/>
        <w:snapToGrid w:val="0"/>
        <w:spacing w:line="560" w:lineRule="exact"/>
        <w:textAlignment w:val="auto"/>
        <w:rPr>
          <w:highlight w:val="none"/>
        </w:rPr>
      </w:pPr>
      <w:r>
        <w:rPr>
          <w:highlight w:val="none"/>
        </w:rPr>
        <w:t>学术志向明确，具有较强科研能力和博士阶段培养潜质，已取得能够反映本人科研能力的代表性成果或形成质量较高的研究计划。申请专业原则上应与硕士专业相同、相近或具有合理的学科关联；跨学科申请人须按培养单位要求补修基础课程。</w:t>
      </w:r>
    </w:p>
    <w:p w14:paraId="52F4C594">
      <w:pPr>
        <w:pStyle w:val="4"/>
        <w:pageBreakBefore w:val="0"/>
        <w:widowControl/>
        <w:numPr>
          <w:ilvl w:val="0"/>
          <w:numId w:val="6"/>
        </w:numPr>
        <w:kinsoku/>
        <w:wordWrap/>
        <w:overflowPunct/>
        <w:topLinePunct w:val="0"/>
        <w:autoSpaceDE/>
        <w:autoSpaceDN/>
        <w:bidi w:val="0"/>
        <w:adjustRightInd w:val="0"/>
        <w:snapToGrid w:val="0"/>
        <w:spacing w:line="560" w:lineRule="exact"/>
        <w:textAlignment w:val="auto"/>
        <w:rPr>
          <w:highlight w:val="none"/>
        </w:rPr>
      </w:pPr>
      <w:r>
        <w:rPr>
          <w:highlight w:val="none"/>
        </w:rPr>
        <w:t>经现硕士生导师同意推荐和拟接收博士生导师同意接收。</w:t>
      </w:r>
    </w:p>
    <w:p w14:paraId="134C96F6">
      <w:pPr>
        <w:pStyle w:val="4"/>
        <w:pageBreakBefore w:val="0"/>
        <w:widowControl/>
        <w:numPr>
          <w:ilvl w:val="0"/>
          <w:numId w:val="6"/>
        </w:numPr>
        <w:kinsoku/>
        <w:wordWrap/>
        <w:overflowPunct/>
        <w:topLinePunct w:val="0"/>
        <w:autoSpaceDE/>
        <w:autoSpaceDN/>
        <w:bidi w:val="0"/>
        <w:adjustRightInd w:val="0"/>
        <w:snapToGrid w:val="0"/>
        <w:spacing w:line="560" w:lineRule="exact"/>
        <w:textAlignment w:val="auto"/>
        <w:rPr>
          <w:highlight w:val="none"/>
        </w:rPr>
      </w:pPr>
      <w:r>
        <w:rPr>
          <w:highlight w:val="none"/>
        </w:rPr>
        <w:t>“1+4”模式申请人应为以推荐免试方式录取的硕士研究生；“2+3”模式申请人已修课程均合格，平均成绩原则上不低于80分。</w:t>
      </w:r>
    </w:p>
    <w:p w14:paraId="7C4806D2">
      <w:pPr>
        <w:pStyle w:val="4"/>
        <w:pageBreakBefore w:val="0"/>
        <w:widowControl/>
        <w:numPr>
          <w:ilvl w:val="0"/>
          <w:numId w:val="6"/>
        </w:numPr>
        <w:kinsoku/>
        <w:wordWrap/>
        <w:overflowPunct/>
        <w:topLinePunct w:val="0"/>
        <w:autoSpaceDE/>
        <w:autoSpaceDN/>
        <w:bidi w:val="0"/>
        <w:adjustRightInd w:val="0"/>
        <w:snapToGrid w:val="0"/>
        <w:spacing w:line="560" w:lineRule="exact"/>
        <w:textAlignment w:val="auto"/>
        <w:rPr>
          <w:highlight w:val="none"/>
        </w:rPr>
      </w:pPr>
      <w:r>
        <w:rPr>
          <w:highlight w:val="none"/>
        </w:rPr>
        <w:t>外语水平原则上达到直博生申请条件所列标准之一。</w:t>
      </w:r>
    </w:p>
    <w:p w14:paraId="723AB3FA">
      <w:pPr>
        <w:pStyle w:val="4"/>
        <w:pageBreakBefore w:val="0"/>
        <w:widowControl/>
        <w:numPr>
          <w:ilvl w:val="0"/>
          <w:numId w:val="6"/>
        </w:numPr>
        <w:kinsoku/>
        <w:wordWrap/>
        <w:overflowPunct/>
        <w:topLinePunct w:val="0"/>
        <w:autoSpaceDE/>
        <w:autoSpaceDN/>
        <w:bidi w:val="0"/>
        <w:adjustRightInd w:val="0"/>
        <w:snapToGrid w:val="0"/>
        <w:spacing w:line="560" w:lineRule="exact"/>
        <w:textAlignment w:val="auto"/>
        <w:rPr>
          <w:highlight w:val="none"/>
        </w:rPr>
      </w:pPr>
      <w:r>
        <w:rPr>
          <w:highlight w:val="none"/>
        </w:rPr>
        <w:t>符合国家、学校以及培养单位年度实施细则规定的其他条件。对于研究潜质突出，但部分申报条件暂未达标的申请人，可提交替代业绩材料并由3名与申请学科相关的教授（或相当专业技术职务，不含本人硕士生导师和拟接收导师）出具具体推荐意见，经培养单位工作小组审议后报学校复核。</w:t>
      </w:r>
    </w:p>
    <w:p w14:paraId="51176A3E">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color w:val="auto"/>
          <w:highlight w:val="none"/>
        </w:rPr>
      </w:pPr>
      <w:r>
        <w:rPr>
          <w:rFonts w:hint="eastAsia" w:ascii="黑体" w:hAnsi="宋体" w:eastAsia="黑体" w:cs="黑体"/>
          <w:color w:val="auto"/>
          <w:highlight w:val="none"/>
        </w:rPr>
        <w:t>五、选拔模式、时间与程序</w:t>
      </w:r>
    </w:p>
    <w:p w14:paraId="0A53A012">
      <w:pPr>
        <w:pStyle w:val="3"/>
        <w:pageBreakBefore w:val="0"/>
        <w:widowControl/>
        <w:kinsoku/>
        <w:wordWrap/>
        <w:overflowPunct/>
        <w:topLinePunct w:val="0"/>
        <w:autoSpaceDE/>
        <w:autoSpaceDN/>
        <w:bidi w:val="0"/>
        <w:adjustRightInd w:val="0"/>
        <w:snapToGrid w:val="0"/>
        <w:spacing w:before="0" w:after="0" w:line="560" w:lineRule="exact"/>
        <w:ind w:firstLine="640" w:firstLineChars="200"/>
        <w:textAlignment w:val="auto"/>
        <w:rPr>
          <w:rFonts w:ascii="仿宋_GB2312" w:eastAsia="仿宋_GB2312" w:cs="仿宋_GB2312"/>
          <w:b w:val="0"/>
          <w:bCs w:val="0"/>
          <w:color w:val="auto"/>
          <w:highlight w:val="none"/>
        </w:rPr>
      </w:pPr>
      <w:r>
        <w:rPr>
          <w:rFonts w:hint="eastAsia" w:ascii="仿宋_GB2312" w:hAnsi="楷体_GB2312" w:eastAsia="仿宋_GB2312" w:cs="楷体_GB2312"/>
          <w:b w:val="0"/>
          <w:bCs w:val="0"/>
          <w:color w:val="auto"/>
          <w:highlight w:val="none"/>
        </w:rPr>
        <w:t>（一）选拔模式与时间</w:t>
      </w:r>
    </w:p>
    <w:p w14:paraId="45309A52">
      <w:pPr>
        <w:pStyle w:val="4"/>
        <w:pageBreakBefore w:val="0"/>
        <w:widowControl/>
        <w:numPr>
          <w:ilvl w:val="0"/>
          <w:numId w:val="7"/>
        </w:numPr>
        <w:kinsoku/>
        <w:wordWrap/>
        <w:overflowPunct/>
        <w:topLinePunct w:val="0"/>
        <w:autoSpaceDE/>
        <w:autoSpaceDN/>
        <w:bidi w:val="0"/>
        <w:adjustRightInd w:val="0"/>
        <w:snapToGrid w:val="0"/>
        <w:spacing w:line="560" w:lineRule="exact"/>
        <w:textAlignment w:val="auto"/>
        <w:rPr>
          <w:rFonts w:cs="仿宋_GB2312"/>
          <w:highlight w:val="none"/>
        </w:rPr>
      </w:pPr>
      <w:r>
        <w:rPr>
          <w:rFonts w:cs="仿宋_GB2312"/>
          <w:highlight w:val="none"/>
        </w:rPr>
        <w:t>直博生选拔模式：原则上每年随学校接收推荐免试研究生工作同步开展。正式报名、复试通知、待录取确认和备案均须通过教育部“推免服务系统”完成。</w:t>
      </w:r>
    </w:p>
    <w:p w14:paraId="749D1613">
      <w:pPr>
        <w:pStyle w:val="4"/>
        <w:pageBreakBefore w:val="0"/>
        <w:widowControl/>
        <w:numPr>
          <w:ilvl w:val="0"/>
          <w:numId w:val="7"/>
        </w:numPr>
        <w:kinsoku/>
        <w:wordWrap/>
        <w:overflowPunct/>
        <w:topLinePunct w:val="0"/>
        <w:autoSpaceDE/>
        <w:autoSpaceDN/>
        <w:bidi w:val="0"/>
        <w:adjustRightInd w:val="0"/>
        <w:snapToGrid w:val="0"/>
        <w:spacing w:line="560" w:lineRule="exact"/>
        <w:textAlignment w:val="auto"/>
        <w:rPr>
          <w:highlight w:val="none"/>
        </w:rPr>
      </w:pPr>
      <w:r>
        <w:rPr>
          <w:rFonts w:cs="仿宋_GB2312"/>
          <w:highlight w:val="none"/>
        </w:rPr>
        <w:t>硕博连读的选拔模式：分为“1+4”（硕士阶段1年、博士阶段4年）、“2+3”（硕士阶段2年、博士阶段3年）两种模式，原则上分别于硕士研究生第一和第三学期组织选拔。各培养单位可结合学科特点选择实施模式，并制定相应选拔细则。</w:t>
      </w:r>
    </w:p>
    <w:p w14:paraId="4964D262">
      <w:pPr>
        <w:pStyle w:val="3"/>
        <w:pageBreakBefore w:val="0"/>
        <w:widowControl/>
        <w:kinsoku/>
        <w:wordWrap/>
        <w:overflowPunct/>
        <w:topLinePunct w:val="0"/>
        <w:autoSpaceDE/>
        <w:autoSpaceDN/>
        <w:bidi w:val="0"/>
        <w:adjustRightInd w:val="0"/>
        <w:snapToGrid w:val="0"/>
        <w:spacing w:before="0" w:after="0" w:line="560" w:lineRule="exact"/>
        <w:ind w:firstLine="640" w:firstLineChars="200"/>
        <w:textAlignment w:val="auto"/>
        <w:rPr>
          <w:rFonts w:ascii="仿宋_GB2312" w:eastAsia="仿宋_GB2312" w:cs="仿宋_GB2312"/>
          <w:b w:val="0"/>
          <w:bCs w:val="0"/>
          <w:color w:val="auto"/>
          <w:highlight w:val="none"/>
        </w:rPr>
      </w:pPr>
      <w:r>
        <w:rPr>
          <w:rFonts w:hint="eastAsia" w:ascii="仿宋_GB2312" w:hAnsi="楷体_GB2312" w:eastAsia="仿宋_GB2312" w:cs="楷体_GB2312"/>
          <w:b w:val="0"/>
          <w:bCs w:val="0"/>
          <w:color w:val="auto"/>
          <w:highlight w:val="none"/>
        </w:rPr>
        <w:t>（二）选拔程序</w:t>
      </w:r>
    </w:p>
    <w:p w14:paraId="3BE7E0A1">
      <w:pPr>
        <w:pStyle w:val="4"/>
        <w:pageBreakBefore w:val="0"/>
        <w:widowControl/>
        <w:numPr>
          <w:ilvl w:val="0"/>
          <w:numId w:val="8"/>
        </w:numPr>
        <w:kinsoku/>
        <w:wordWrap/>
        <w:overflowPunct/>
        <w:topLinePunct w:val="0"/>
        <w:autoSpaceDE/>
        <w:autoSpaceDN/>
        <w:bidi w:val="0"/>
        <w:adjustRightInd w:val="0"/>
        <w:snapToGrid w:val="0"/>
        <w:spacing w:line="560" w:lineRule="exact"/>
        <w:textAlignment w:val="auto"/>
        <w:rPr>
          <w:rFonts w:cs="仿宋_GB2312"/>
          <w:highlight w:val="none"/>
        </w:rPr>
      </w:pPr>
      <w:r>
        <w:rPr>
          <w:rFonts w:cs="仿宋_GB2312"/>
          <w:highlight w:val="none"/>
        </w:rPr>
        <w:t>发布通知。由研究生院统一发布年度工作通知；培养单位据此公布</w:t>
      </w:r>
      <w:r>
        <w:rPr>
          <w:highlight w:val="none"/>
        </w:rPr>
        <w:t>详细招生方案，包括</w:t>
      </w:r>
      <w:r>
        <w:rPr>
          <w:rFonts w:cs="仿宋_GB2312"/>
          <w:highlight w:val="none"/>
        </w:rPr>
        <w:t>招生专业、导师、计划、申请条件、材料要求、考核办法、时间安排、奖励资助政策和咨询监督方式。</w:t>
      </w:r>
    </w:p>
    <w:p w14:paraId="49A150F6">
      <w:pPr>
        <w:pStyle w:val="4"/>
        <w:pageBreakBefore w:val="0"/>
        <w:widowControl/>
        <w:numPr>
          <w:ilvl w:val="0"/>
          <w:numId w:val="8"/>
        </w:numPr>
        <w:kinsoku/>
        <w:wordWrap/>
        <w:overflowPunct/>
        <w:topLinePunct w:val="0"/>
        <w:autoSpaceDE/>
        <w:autoSpaceDN/>
        <w:bidi w:val="0"/>
        <w:adjustRightInd w:val="0"/>
        <w:snapToGrid w:val="0"/>
        <w:spacing w:line="560" w:lineRule="exact"/>
        <w:textAlignment w:val="auto"/>
        <w:rPr>
          <w:rFonts w:cs="仿宋_GB2312"/>
          <w:highlight w:val="none"/>
        </w:rPr>
      </w:pPr>
      <w:r>
        <w:rPr>
          <w:rFonts w:cs="仿宋_GB2312"/>
          <w:highlight w:val="none"/>
        </w:rPr>
        <w:t>个人申请。申请人按规定提交申请表、成绩单、外语水平证明、代表性成果、研究计划、专家推荐信以及培养单位要求的其他材料，并对材料真实性负责。</w:t>
      </w:r>
    </w:p>
    <w:p w14:paraId="4CABCA5A">
      <w:pPr>
        <w:pStyle w:val="4"/>
        <w:pageBreakBefore w:val="0"/>
        <w:widowControl/>
        <w:numPr>
          <w:ilvl w:val="0"/>
          <w:numId w:val="8"/>
        </w:numPr>
        <w:kinsoku/>
        <w:wordWrap/>
        <w:overflowPunct/>
        <w:topLinePunct w:val="0"/>
        <w:autoSpaceDE/>
        <w:autoSpaceDN/>
        <w:bidi w:val="0"/>
        <w:adjustRightInd w:val="0"/>
        <w:snapToGrid w:val="0"/>
        <w:spacing w:line="560" w:lineRule="exact"/>
        <w:textAlignment w:val="auto"/>
        <w:rPr>
          <w:rFonts w:cs="仿宋_GB2312"/>
          <w:highlight w:val="none"/>
        </w:rPr>
      </w:pPr>
      <w:r>
        <w:rPr>
          <w:rFonts w:cs="仿宋_GB2312"/>
          <w:highlight w:val="none"/>
        </w:rPr>
        <w:t>资格审查。培养单位对申请材料进行审查，研究生院进行复核。通过复核的资格审查名单应在考核前公布。</w:t>
      </w:r>
    </w:p>
    <w:p w14:paraId="757EC87E">
      <w:pPr>
        <w:pStyle w:val="4"/>
        <w:pageBreakBefore w:val="0"/>
        <w:widowControl/>
        <w:numPr>
          <w:ilvl w:val="0"/>
          <w:numId w:val="8"/>
        </w:numPr>
        <w:kinsoku/>
        <w:wordWrap/>
        <w:overflowPunct/>
        <w:topLinePunct w:val="0"/>
        <w:autoSpaceDE/>
        <w:autoSpaceDN/>
        <w:bidi w:val="0"/>
        <w:adjustRightInd w:val="0"/>
        <w:snapToGrid w:val="0"/>
        <w:spacing w:line="560" w:lineRule="exact"/>
        <w:textAlignment w:val="auto"/>
        <w:rPr>
          <w:rFonts w:cs="仿宋_GB2312"/>
          <w:highlight w:val="none"/>
        </w:rPr>
      </w:pPr>
      <w:r>
        <w:rPr>
          <w:rFonts w:cs="仿宋_GB2312"/>
          <w:highlight w:val="none"/>
        </w:rPr>
        <w:t>综合考核。考核应包括思想政治素质和品德、专业基础、外语能力、科研经历、研究计划、创新潜质、学术志趣和综合素质，可采取笔试、面试、研究计划陈述与答辩、代表性成果评议等方式。各培养单位具体制定考核方式和考核标准。思想政治素质和品德考核不合格者不予录取。</w:t>
      </w:r>
    </w:p>
    <w:p w14:paraId="1BDE75E6">
      <w:pPr>
        <w:pStyle w:val="4"/>
        <w:pageBreakBefore w:val="0"/>
        <w:widowControl/>
        <w:numPr>
          <w:ilvl w:val="0"/>
          <w:numId w:val="8"/>
        </w:numPr>
        <w:kinsoku/>
        <w:wordWrap/>
        <w:overflowPunct/>
        <w:topLinePunct w:val="0"/>
        <w:autoSpaceDE/>
        <w:autoSpaceDN/>
        <w:bidi w:val="0"/>
        <w:adjustRightInd w:val="0"/>
        <w:snapToGrid w:val="0"/>
        <w:spacing w:line="560" w:lineRule="exact"/>
        <w:textAlignment w:val="auto"/>
        <w:rPr>
          <w:rFonts w:cs="仿宋_GB2312"/>
          <w:highlight w:val="none"/>
        </w:rPr>
      </w:pPr>
      <w:r>
        <w:rPr>
          <w:rFonts w:cs="仿宋_GB2312"/>
          <w:highlight w:val="none"/>
        </w:rPr>
        <w:t>拟录取与公示。培养单位按照招生计划和综合考核成绩择优提出拟录取建议，报学校审核。学校对拟录取名单公示不少于7日。直博生还须在教育部“推免服务系统”完成全部确认手续，未按时确认者视为放弃。</w:t>
      </w:r>
    </w:p>
    <w:p w14:paraId="405DB03A">
      <w:pPr>
        <w:pStyle w:val="4"/>
        <w:pageBreakBefore w:val="0"/>
        <w:widowControl/>
        <w:numPr>
          <w:ilvl w:val="0"/>
          <w:numId w:val="8"/>
        </w:numPr>
        <w:kinsoku/>
        <w:wordWrap/>
        <w:overflowPunct/>
        <w:topLinePunct w:val="0"/>
        <w:autoSpaceDE/>
        <w:autoSpaceDN/>
        <w:bidi w:val="0"/>
        <w:adjustRightInd w:val="0"/>
        <w:snapToGrid w:val="0"/>
        <w:spacing w:line="560" w:lineRule="exact"/>
        <w:textAlignment w:val="auto"/>
        <w:rPr>
          <w:rFonts w:cs="仿宋_GB2312"/>
          <w:highlight w:val="none"/>
        </w:rPr>
      </w:pPr>
      <w:r>
        <w:rPr>
          <w:rFonts w:cs="仿宋_GB2312"/>
          <w:highlight w:val="none"/>
        </w:rPr>
        <w:t>材料归档。笔试试卷、专家评分表、面试记录、录音录像和拟录取材料应完整归档，保存期限执行国家和学校研究生招生档案管理规定。</w:t>
      </w:r>
    </w:p>
    <w:p w14:paraId="653E7955">
      <w:pPr>
        <w:pStyle w:val="4"/>
        <w:pageBreakBefore w:val="0"/>
        <w:widowControl/>
        <w:numPr>
          <w:ilvl w:val="0"/>
          <w:numId w:val="8"/>
        </w:numPr>
        <w:kinsoku/>
        <w:wordWrap/>
        <w:overflowPunct/>
        <w:topLinePunct w:val="0"/>
        <w:autoSpaceDE/>
        <w:autoSpaceDN/>
        <w:bidi w:val="0"/>
        <w:adjustRightInd w:val="0"/>
        <w:snapToGrid w:val="0"/>
        <w:spacing w:line="560" w:lineRule="exact"/>
        <w:textAlignment w:val="auto"/>
        <w:rPr>
          <w:highlight w:val="none"/>
        </w:rPr>
      </w:pPr>
      <w:r>
        <w:rPr>
          <w:rFonts w:cs="仿宋_GB2312"/>
          <w:highlight w:val="none"/>
        </w:rPr>
        <w:t>申请人提供虚假材料、隐瞒重要事实或存在作弊、学术不端等行为的，一经查实，取消其申请、拟录取、录取或学籍资格，并按有关规定处理。</w:t>
      </w:r>
    </w:p>
    <w:p w14:paraId="28C1B109">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snapToGrid w:val="0"/>
          <w:color w:val="auto"/>
          <w:highlight w:val="none"/>
        </w:rPr>
      </w:pPr>
      <w:r>
        <w:rPr>
          <w:rFonts w:hint="eastAsia" w:ascii="黑体" w:hAnsi="宋体" w:eastAsia="黑体" w:cs="黑体"/>
          <w:color w:val="auto"/>
          <w:highlight w:val="none"/>
        </w:rPr>
        <w:t>六、贯通培养与考核</w:t>
      </w:r>
    </w:p>
    <w:p w14:paraId="29B1631D">
      <w:pPr>
        <w:pStyle w:val="4"/>
        <w:pageBreakBefore w:val="0"/>
        <w:widowControl/>
        <w:numPr>
          <w:ilvl w:val="0"/>
          <w:numId w:val="9"/>
        </w:numPr>
        <w:kinsoku/>
        <w:wordWrap/>
        <w:overflowPunct/>
        <w:topLinePunct w:val="0"/>
        <w:autoSpaceDE/>
        <w:autoSpaceDN/>
        <w:bidi w:val="0"/>
        <w:adjustRightInd w:val="0"/>
        <w:snapToGrid w:val="0"/>
        <w:spacing w:line="560" w:lineRule="exact"/>
        <w:ind w:firstLine="720"/>
        <w:textAlignment w:val="auto"/>
        <w:rPr>
          <w:rFonts w:cs="仿宋_GB2312"/>
          <w:highlight w:val="none"/>
        </w:rPr>
      </w:pPr>
      <w:r>
        <w:rPr>
          <w:rFonts w:cs="仿宋_GB2312"/>
          <w:highlight w:val="none"/>
        </w:rPr>
        <w:t>直博生基本学制为5年，最长学习年限按学校研究生学籍管理规定执行；自入学起取得博士研究生学籍，按博士研究生标准享受相应待遇。</w:t>
      </w:r>
    </w:p>
    <w:p w14:paraId="153415E5">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硕博连读生按照相应模式实行分阶段贯通培养。正式办理博士研究生入学手续前保留硕士研究生身份；完成转段并注册后取得博士研究生学籍，享受博士研究生待遇。</w:t>
      </w:r>
    </w:p>
    <w:p w14:paraId="0A38BB2D">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培养单位应分别制定直博生和不同模式硕博连读生贯通培养方案，明确培养目标、课程体系、学分要求、研究训练、学术交流、开题报告、资格考核、中期考核、学位论文和分流退出安排。直博生及“1+4”模式硕博连读生课程总学分原则上不少于32学分。</w:t>
      </w:r>
    </w:p>
    <w:p w14:paraId="3D715DAD">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直博生入学后由导师组共同制定个性化培养计划，突出人工智能技术、湾区实践、跨学科研究和规范的学术写作训练。</w:t>
      </w:r>
    </w:p>
    <w:p w14:paraId="412395C2">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直博生应在第二学年结束前参加博士生资格考核，重点考查课程基础、经典文献掌握、研究设计、方法能力和持续攻博潜力。首次考核未通过者，可在6个月内申请1次补考；补考仍未通过者，按本方案实施分流。</w:t>
      </w:r>
    </w:p>
    <w:p w14:paraId="0D34FA23">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硕博连读生进入博士阶段后参加博士研究生中期考核。培养单位可根据培养质量要求设置前置考核，考核结果与继续攻博、分流培养和奖助评定相衔接。</w:t>
      </w:r>
    </w:p>
    <w:p w14:paraId="446CCF35">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直博生、硕博连读生原则上不可申请提前毕业。</w:t>
      </w:r>
    </w:p>
    <w:p w14:paraId="1D55EA77">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rFonts w:cs="仿宋_GB2312"/>
          <w:highlight w:val="none"/>
        </w:rPr>
        <w:t>培养单位应对直博生和硕博连读生实行年度学业进展评估。对进展迟缓、科研投入不足或出现培养风险者，及时给予学业预警并形成书面改进计划。</w:t>
      </w:r>
    </w:p>
    <w:p w14:paraId="04109247">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color w:val="auto"/>
          <w:highlight w:val="none"/>
        </w:rPr>
      </w:pPr>
      <w:r>
        <w:rPr>
          <w:rFonts w:hint="eastAsia" w:ascii="黑体" w:hAnsi="宋体" w:eastAsia="黑体" w:cs="黑体"/>
          <w:color w:val="auto"/>
          <w:highlight w:val="none"/>
        </w:rPr>
        <w:t>七、学籍管理、分流退出与待遇</w:t>
      </w:r>
    </w:p>
    <w:p w14:paraId="0AC8665E">
      <w:pPr>
        <w:pStyle w:val="4"/>
        <w:pageBreakBefore w:val="0"/>
        <w:widowControl/>
        <w:numPr>
          <w:ilvl w:val="0"/>
          <w:numId w:val="10"/>
        </w:numPr>
        <w:kinsoku/>
        <w:wordWrap/>
        <w:overflowPunct/>
        <w:topLinePunct w:val="0"/>
        <w:autoSpaceDE/>
        <w:autoSpaceDN/>
        <w:bidi w:val="0"/>
        <w:adjustRightInd w:val="0"/>
        <w:snapToGrid w:val="0"/>
        <w:spacing w:line="560" w:lineRule="exact"/>
        <w:ind w:firstLine="720"/>
        <w:textAlignment w:val="auto"/>
        <w:rPr>
          <w:rFonts w:cs="仿宋_GB2312"/>
          <w:highlight w:val="none"/>
        </w:rPr>
      </w:pPr>
      <w:r>
        <w:rPr>
          <w:rFonts w:cs="仿宋_GB2312"/>
          <w:highlight w:val="none"/>
        </w:rPr>
        <w:t>直博生和硕博连读生应遵守学校研究生学籍、培养、学位和奖助管理规定。延期期间的待遇按学校有关规定执行。</w:t>
      </w:r>
    </w:p>
    <w:p w14:paraId="450BDCF2">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直博生因资格考核不通过、本人申请、导师组提出培养建议或其他原因不适合继续攻读博士学位的，可以申请转为硕士研究生培养。转硕应具备相应硕士学位授权点和培养条件，经导师组、所属学科学位评定分委员会审议，报学校批准后执行。</w:t>
      </w:r>
    </w:p>
    <w:p w14:paraId="7327FD9D">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直博生转硕后，应转入与原博士学科相同或相近的全日制学术学位硕士专业，补齐硕士培养方案规定的课程、实践和论文环节，在学校规定期限内完成硕士学业。不能转硕或不愿转硕者，按退学等有关规定处理。</w:t>
      </w:r>
    </w:p>
    <w:p w14:paraId="603957BC">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硕博连读生在进入博士阶段后因本人申请或考核不合格不再继续攻读博士学位的，经所属学科学位评定分委员会审议并报学校批准，可转回原硕士专业培养；达到硕士培养和学位授予要求的，可申请硕士毕业和学位。</w:t>
      </w:r>
    </w:p>
    <w:p w14:paraId="12E7B020">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直博生和硕博连读生转硕后，自学校批准之日起按硕士研究生标准管理并享受相应待遇；已按规定发放的博士研究生奖助一般不追溯调整，但因弄虚作假取得资格的除外。</w:t>
      </w:r>
    </w:p>
    <w:p w14:paraId="5D5C7385">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rFonts w:cs="仿宋_GB2312"/>
          <w:highlight w:val="none"/>
        </w:rPr>
        <w:t>已分流转为硕士研究生培养者，不得再次申请本校直博或硕博连读。</w:t>
      </w:r>
    </w:p>
    <w:p w14:paraId="3EC8A27D">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snapToGrid w:val="0"/>
          <w:color w:val="auto"/>
          <w:highlight w:val="none"/>
        </w:rPr>
      </w:pPr>
      <w:r>
        <w:rPr>
          <w:rFonts w:hint="eastAsia" w:ascii="黑体" w:hAnsi="宋体" w:eastAsia="黑体" w:cs="黑体"/>
          <w:color w:val="auto"/>
          <w:highlight w:val="none"/>
        </w:rPr>
        <w:t>八、毕业与学位授予</w:t>
      </w:r>
    </w:p>
    <w:p w14:paraId="320E61D7">
      <w:pPr>
        <w:pStyle w:val="4"/>
        <w:pageBreakBefore w:val="0"/>
        <w:widowControl/>
        <w:numPr>
          <w:ilvl w:val="0"/>
          <w:numId w:val="11"/>
        </w:numPr>
        <w:kinsoku/>
        <w:wordWrap/>
        <w:overflowPunct/>
        <w:topLinePunct w:val="0"/>
        <w:autoSpaceDE/>
        <w:autoSpaceDN/>
        <w:bidi w:val="0"/>
        <w:adjustRightInd w:val="0"/>
        <w:snapToGrid w:val="0"/>
        <w:spacing w:line="560" w:lineRule="exact"/>
        <w:ind w:firstLine="720"/>
        <w:textAlignment w:val="auto"/>
        <w:rPr>
          <w:rFonts w:cs="仿宋_GB2312"/>
          <w:highlight w:val="none"/>
        </w:rPr>
      </w:pPr>
      <w:r>
        <w:rPr>
          <w:rFonts w:cs="仿宋_GB2312"/>
          <w:highlight w:val="none"/>
        </w:rPr>
        <w:t>直博生和硕博连读生符合国家和学校博士研究生毕业及博士学位授予条件的，准予毕业并授予博士学位。</w:t>
      </w:r>
    </w:p>
    <w:p w14:paraId="6CCC3312">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直博生和硕博连读生不颁发硕士毕业证书、不授予硕士学位；经批准分流转硕并完成硕士培养要求者除外。</w:t>
      </w:r>
    </w:p>
    <w:p w14:paraId="70D01BB1">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rFonts w:cs="仿宋_GB2312"/>
          <w:highlight w:val="none"/>
        </w:rPr>
        <w:t>博士学位论文答辩未通过但达到硕士学位论文水平的，是否可转为申请硕士学位，按照《中华人民共和国学位法》、学校学位授予工作规定和本方案分流程序办理。</w:t>
      </w:r>
    </w:p>
    <w:p w14:paraId="7AC353B4">
      <w:pPr>
        <w:pStyle w:val="2"/>
        <w:pageBreakBefore w:val="0"/>
        <w:widowControl/>
        <w:kinsoku/>
        <w:wordWrap/>
        <w:overflowPunct/>
        <w:topLinePunct w:val="0"/>
        <w:autoSpaceDE/>
        <w:autoSpaceDN/>
        <w:bidi w:val="0"/>
        <w:adjustRightInd w:val="0"/>
        <w:snapToGrid w:val="0"/>
        <w:spacing w:before="0" w:after="0" w:line="560" w:lineRule="exact"/>
        <w:ind w:firstLine="643" w:firstLineChars="200"/>
        <w:textAlignment w:val="auto"/>
        <w:rPr>
          <w:snapToGrid w:val="0"/>
          <w:color w:val="auto"/>
          <w:highlight w:val="none"/>
        </w:rPr>
      </w:pPr>
      <w:r>
        <w:rPr>
          <w:rFonts w:hint="eastAsia" w:ascii="黑体" w:hAnsi="宋体" w:eastAsia="黑体" w:cs="黑体"/>
          <w:color w:val="auto"/>
          <w:highlight w:val="none"/>
        </w:rPr>
        <w:t>九、附则</w:t>
      </w:r>
    </w:p>
    <w:p w14:paraId="326F0AB7">
      <w:pPr>
        <w:pStyle w:val="4"/>
        <w:pageBreakBefore w:val="0"/>
        <w:widowControl/>
        <w:numPr>
          <w:ilvl w:val="0"/>
          <w:numId w:val="12"/>
        </w:numPr>
        <w:kinsoku/>
        <w:wordWrap/>
        <w:overflowPunct/>
        <w:topLinePunct w:val="0"/>
        <w:autoSpaceDE/>
        <w:autoSpaceDN/>
        <w:bidi w:val="0"/>
        <w:adjustRightInd w:val="0"/>
        <w:snapToGrid w:val="0"/>
        <w:spacing w:line="560" w:lineRule="exact"/>
        <w:ind w:firstLine="720"/>
        <w:textAlignment w:val="auto"/>
        <w:rPr>
          <w:rFonts w:cs="仿宋_GB2312"/>
          <w:highlight w:val="none"/>
        </w:rPr>
      </w:pPr>
      <w:r>
        <w:rPr>
          <w:rFonts w:cs="仿宋_GB2312"/>
          <w:highlight w:val="none"/>
        </w:rPr>
        <w:t>培养单位制定的实施细则和贯通培养方案须经所属学科学位评定分委员会审议通过，报学校审核备案后实施，并在本单位网站向社会或相关研究生公开。</w:t>
      </w:r>
    </w:p>
    <w:p w14:paraId="68FADEBA">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rFonts w:cs="仿宋_GB2312"/>
          <w:highlight w:val="none"/>
        </w:rPr>
      </w:pPr>
      <w:r>
        <w:rPr>
          <w:rFonts w:cs="仿宋_GB2312"/>
          <w:highlight w:val="none"/>
        </w:rPr>
        <w:t>本方案未尽事宜，按照国家和学校有关规定执行；上级政策调整的，从其规定。</w:t>
      </w:r>
    </w:p>
    <w:p w14:paraId="7B3F7403">
      <w:pPr>
        <w:pStyle w:val="4"/>
        <w:pageBreakBefore w:val="0"/>
        <w:widowControl/>
        <w:kinsoku/>
        <w:wordWrap/>
        <w:overflowPunct/>
        <w:topLinePunct w:val="0"/>
        <w:autoSpaceDE/>
        <w:autoSpaceDN/>
        <w:bidi w:val="0"/>
        <w:adjustRightInd w:val="0"/>
        <w:snapToGrid w:val="0"/>
        <w:spacing w:line="560" w:lineRule="exact"/>
        <w:ind w:firstLine="640" w:firstLineChars="200"/>
        <w:textAlignment w:val="auto"/>
        <w:rPr>
          <w:highlight w:val="none"/>
        </w:rPr>
      </w:pPr>
      <w:r>
        <w:rPr>
          <w:rFonts w:cs="仿宋_GB2312"/>
          <w:highlight w:val="none"/>
        </w:rPr>
        <w:t>本方案由研究生院负责解释，自发布之日起施行。</w:t>
      </w:r>
    </w:p>
    <w:p w14:paraId="4C528D40">
      <w:pPr>
        <w:pStyle w:val="4"/>
        <w:numPr>
          <w:ilvl w:val="0"/>
          <w:numId w:val="0"/>
        </w:numPr>
        <w:adjustRightInd w:val="0"/>
        <w:snapToGrid w:val="0"/>
        <w:spacing w:line="360" w:lineRule="auto"/>
        <w:rPr>
          <w:highlight w:val="none"/>
        </w:rPr>
      </w:pPr>
    </w:p>
    <w:sectPr>
      <w:footerReference r:id="rId3" w:type="default"/>
      <w:pgSz w:w="11906" w:h="16838"/>
      <w:pgMar w:top="2098" w:right="1474" w:bottom="1984" w:left="1587" w:header="850" w:footer="794" w:gutter="0"/>
      <w:paperSrc/>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1BA85108-09C4-4659-BE01-BAFF5B609D13}"/>
  </w:font>
  <w:font w:name="宋体">
    <w:panose1 w:val="02010600030101010101"/>
    <w:charset w:val="86"/>
    <w:family w:val="auto"/>
    <w:pitch w:val="default"/>
    <w:sig w:usb0="00000203" w:usb1="288F0000" w:usb2="00000006" w:usb3="00000000" w:csb0="00040001" w:csb1="00000000"/>
    <w:embedRegular r:id="rId2" w:fontKey="{EA8EAED8-E500-4396-91BF-5DF287396745}"/>
  </w:font>
  <w:font w:name="Wingdings">
    <w:panose1 w:val="05000000000000000000"/>
    <w:charset w:val="02"/>
    <w:family w:val="auto"/>
    <w:pitch w:val="default"/>
    <w:sig w:usb0="00000000" w:usb1="00000000" w:usb2="00000000" w:usb3="00000000" w:csb0="80000000" w:csb1="00000000"/>
    <w:embedRegular r:id="rId3" w:fontKey="{5480DA05-2F0E-42B5-9354-44BBA8B12BEA}"/>
  </w:font>
  <w:font w:name="Arial">
    <w:panose1 w:val="020B0604020202020204"/>
    <w:charset w:val="01"/>
    <w:family w:val="swiss"/>
    <w:pitch w:val="default"/>
    <w:sig w:usb0="E0002EFF" w:usb1="C000785B" w:usb2="00000009" w:usb3="00000000" w:csb0="400001FF" w:csb1="FFFF0000"/>
    <w:embedRegular r:id="rId4" w:fontKey="{84BCE51F-9856-466C-BD91-AD74AED12DF8}"/>
  </w:font>
  <w:font w:name="黑体">
    <w:panose1 w:val="02010609060101010101"/>
    <w:charset w:val="86"/>
    <w:family w:val="auto"/>
    <w:pitch w:val="default"/>
    <w:sig w:usb0="800002BF" w:usb1="38CF7CFA" w:usb2="00000016" w:usb3="00000000" w:csb0="00040001" w:csb1="00000000"/>
    <w:embedRegular r:id="rId5" w:fontKey="{485B8A3F-E193-4A28-9F70-3F9A3049AE87}"/>
  </w:font>
  <w:font w:name="Courier New">
    <w:panose1 w:val="02070309020205020404"/>
    <w:charset w:val="01"/>
    <w:family w:val="modern"/>
    <w:pitch w:val="default"/>
    <w:sig w:usb0="E0002EFF" w:usb1="C0007843" w:usb2="00000009" w:usb3="00000000" w:csb0="400001FF" w:csb1="FFFF0000"/>
    <w:embedRegular r:id="rId6" w:fontKey="{924200EF-0A31-45DC-ADC2-FFEA55A55BB4}"/>
  </w:font>
  <w:font w:name="Symbol">
    <w:panose1 w:val="05050102010706020507"/>
    <w:charset w:val="02"/>
    <w:family w:val="roman"/>
    <w:pitch w:val="default"/>
    <w:sig w:usb0="00000000" w:usb1="00000000" w:usb2="00000000" w:usb3="00000000" w:csb0="80000000" w:csb1="00000000"/>
    <w:embedRegular r:id="rId7" w:fontKey="{6C0F0889-7ABB-4FFF-92BE-0D40E61D5889}"/>
  </w:font>
  <w:font w:name="Calibri">
    <w:panose1 w:val="020F0502020204030204"/>
    <w:charset w:val="00"/>
    <w:family w:val="swiss"/>
    <w:pitch w:val="default"/>
    <w:sig w:usb0="E0002EFF" w:usb1="C000247B" w:usb2="00000009" w:usb3="00000000" w:csb0="200001FF" w:csb1="00000000"/>
    <w:embedRegular r:id="rId8" w:fontKey="{A74D01C3-F8F6-4796-A002-97B8B2EB6429}"/>
  </w:font>
  <w:font w:name="仿宋_GB2312">
    <w:panose1 w:val="02010609030101010101"/>
    <w:charset w:val="86"/>
    <w:family w:val="modern"/>
    <w:pitch w:val="default"/>
    <w:sig w:usb0="00000001" w:usb1="080E0000" w:usb2="00000000" w:usb3="00000000" w:csb0="00040000" w:csb1="00000000"/>
    <w:embedRegular r:id="rId9" w:fontKey="{FFE753EF-E04E-4A23-9F35-988449EE978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10" w:fontKey="{C15F269E-63DB-4092-B39B-CB9F977C2056}"/>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294EE">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19CD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7419CDB">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0B2756"/>
    <w:multiLevelType w:val="multilevel"/>
    <w:tmpl w:val="CB0B2756"/>
    <w:lvl w:ilvl="0" w:tentative="0">
      <w:start w:val="1"/>
      <w:numFmt w:val="decimal"/>
      <w:suff w:val="nothing"/>
      <w:lvlText w:val="%1."/>
      <w:lvlJc w:val="left"/>
      <w:pPr>
        <w:ind w:left="0" w:firstLine="72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E42F8AFB"/>
    <w:multiLevelType w:val="multilevel"/>
    <w:tmpl w:val="E42F8AFB"/>
    <w:lvl w:ilvl="0" w:tentative="0">
      <w:start w:val="1"/>
      <w:numFmt w:val="decimal"/>
      <w:suff w:val="nothing"/>
      <w:lvlText w:val="%1."/>
      <w:lvlJc w:val="left"/>
      <w:pPr>
        <w:ind w:left="0" w:firstLine="72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FF049CB8"/>
    <w:multiLevelType w:val="multilevel"/>
    <w:tmpl w:val="FF049CB8"/>
    <w:lvl w:ilvl="0" w:tentative="0">
      <w:start w:val="1"/>
      <w:numFmt w:val="decimal"/>
      <w:suff w:val="nothing"/>
      <w:lvlText w:val="%1."/>
      <w:lvlJc w:val="left"/>
      <w:pPr>
        <w:ind w:left="0" w:firstLine="72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2DE9B7C"/>
    <w:multiLevelType w:val="singleLevel"/>
    <w:tmpl w:val="42DE9B7C"/>
    <w:lvl w:ilvl="0" w:tentative="0">
      <w:start w:val="1"/>
      <w:numFmt w:val="decimal"/>
      <w:suff w:val="nothing"/>
      <w:lvlText w:val="%1."/>
      <w:lvlJc w:val="left"/>
      <w:pPr>
        <w:ind w:left="0" w:firstLine="40"/>
      </w:pPr>
    </w:lvl>
  </w:abstractNum>
  <w:abstractNum w:abstractNumId="4">
    <w:nsid w:val="60421242"/>
    <w:multiLevelType w:val="multilevel"/>
    <w:tmpl w:val="60421242"/>
    <w:lvl w:ilvl="0" w:tentative="0">
      <w:start w:val="1"/>
      <w:numFmt w:val="decimal"/>
      <w:suff w:val="nothing"/>
      <w:lvlText w:val="%1."/>
      <w:lvlJc w:val="left"/>
      <w:pPr>
        <w:ind w:left="0" w:firstLine="72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59BFF57"/>
    <w:multiLevelType w:val="multilevel"/>
    <w:tmpl w:val="759BFF57"/>
    <w:lvl w:ilvl="0" w:tentative="0">
      <w:start w:val="1"/>
      <w:numFmt w:val="taiwaneseCountingThousand"/>
      <w:pStyle w:val="4"/>
      <w:suff w:val="nothing"/>
      <w:lvlText w:val="（%1）"/>
      <w:lvlJc w:val="left"/>
      <w:pPr>
        <w:ind w:left="0" w:firstLine="0"/>
      </w:pPr>
      <w:rPr>
        <w:lang w:val="en-U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0"/>
  </w:num>
  <w:num w:numId="7">
    <w:abstractNumId w:val="2"/>
  </w:num>
  <w:num w:numId="8">
    <w:abstractNumId w:val="1"/>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mirrorMargins w:val="1"/>
  <w:documentProtection w:enforcement="0"/>
  <w:defaultTabStop w:val="420"/>
  <w:drawingGridVerticalSpacing w:val="156"/>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85A0D"/>
    <w:rsid w:val="00011159"/>
    <w:rsid w:val="000265F8"/>
    <w:rsid w:val="0009233A"/>
    <w:rsid w:val="000A544D"/>
    <w:rsid w:val="000D5B4E"/>
    <w:rsid w:val="00103BF3"/>
    <w:rsid w:val="00130281"/>
    <w:rsid w:val="00154B65"/>
    <w:rsid w:val="00170E11"/>
    <w:rsid w:val="001B24C0"/>
    <w:rsid w:val="001B2AF0"/>
    <w:rsid w:val="001B57D4"/>
    <w:rsid w:val="003B7183"/>
    <w:rsid w:val="00483AAF"/>
    <w:rsid w:val="004F1FAC"/>
    <w:rsid w:val="005B11BF"/>
    <w:rsid w:val="005C654C"/>
    <w:rsid w:val="007237D1"/>
    <w:rsid w:val="007526DE"/>
    <w:rsid w:val="0077377F"/>
    <w:rsid w:val="008C33BE"/>
    <w:rsid w:val="009B4A15"/>
    <w:rsid w:val="00A32DC3"/>
    <w:rsid w:val="00A73BA7"/>
    <w:rsid w:val="00B356A2"/>
    <w:rsid w:val="00B951DA"/>
    <w:rsid w:val="00C64A72"/>
    <w:rsid w:val="00C72A5C"/>
    <w:rsid w:val="00D145CC"/>
    <w:rsid w:val="00D14A30"/>
    <w:rsid w:val="00D868FE"/>
    <w:rsid w:val="00DC17C7"/>
    <w:rsid w:val="00E955FE"/>
    <w:rsid w:val="00F32957"/>
    <w:rsid w:val="00F464A6"/>
    <w:rsid w:val="00FE0F0A"/>
    <w:rsid w:val="05564BD4"/>
    <w:rsid w:val="092A0515"/>
    <w:rsid w:val="09C30A93"/>
    <w:rsid w:val="18DA380E"/>
    <w:rsid w:val="2188017C"/>
    <w:rsid w:val="26F969CE"/>
    <w:rsid w:val="27C87E48"/>
    <w:rsid w:val="2EBE505B"/>
    <w:rsid w:val="31550426"/>
    <w:rsid w:val="339A61A5"/>
    <w:rsid w:val="343060E0"/>
    <w:rsid w:val="34585A0D"/>
    <w:rsid w:val="34D50630"/>
    <w:rsid w:val="3B2D6CF2"/>
    <w:rsid w:val="3B7A02F1"/>
    <w:rsid w:val="47AF26F6"/>
    <w:rsid w:val="4CE770BE"/>
    <w:rsid w:val="4FFE816D"/>
    <w:rsid w:val="530530C9"/>
    <w:rsid w:val="59DC5A65"/>
    <w:rsid w:val="631B7EC9"/>
    <w:rsid w:val="666D2167"/>
    <w:rsid w:val="6BFF79A8"/>
    <w:rsid w:val="6D6213DA"/>
    <w:rsid w:val="73F7660D"/>
    <w:rsid w:val="7741041B"/>
    <w:rsid w:val="77EB41CA"/>
    <w:rsid w:val="7C165297"/>
    <w:rsid w:val="7CB01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widowControl/>
      <w:spacing w:before="280" w:after="80" w:line="560" w:lineRule="exact"/>
      <w:outlineLvl w:val="0"/>
    </w:pPr>
    <w:rPr>
      <w:rFonts w:ascii="Calibri" w:hAnsi="Calibri" w:eastAsia="MS Gothic" w:cs="Times New Roman"/>
      <w:b/>
      <w:bCs/>
      <w:color w:val="000000"/>
      <w:kern w:val="0"/>
      <w:sz w:val="32"/>
      <w:szCs w:val="28"/>
    </w:rPr>
  </w:style>
  <w:style w:type="paragraph" w:styleId="3">
    <w:name w:val="heading 2"/>
    <w:basedOn w:val="1"/>
    <w:next w:val="1"/>
    <w:link w:val="12"/>
    <w:semiHidden/>
    <w:unhideWhenUsed/>
    <w:qFormat/>
    <w:uiPriority w:val="0"/>
    <w:pPr>
      <w:keepNext/>
      <w:keepLines/>
      <w:widowControl/>
      <w:spacing w:before="160" w:after="40" w:line="560" w:lineRule="exact"/>
      <w:outlineLvl w:val="1"/>
    </w:pPr>
    <w:rPr>
      <w:rFonts w:ascii="Calibri" w:hAnsi="Calibri" w:eastAsia="MS Gothic" w:cs="Times New Roman"/>
      <w:b/>
      <w:bCs/>
      <w:color w:val="000000"/>
      <w:kern w:val="0"/>
      <w:sz w:val="32"/>
      <w:szCs w:val="2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List Bullet"/>
    <w:basedOn w:val="1"/>
    <w:qFormat/>
    <w:uiPriority w:val="0"/>
    <w:pPr>
      <w:widowControl/>
      <w:numPr>
        <w:ilvl w:val="0"/>
        <w:numId w:val="1"/>
      </w:numPr>
      <w:spacing w:line="560" w:lineRule="exact"/>
      <w:contextualSpacing/>
    </w:pPr>
    <w:rPr>
      <w:rFonts w:hint="eastAsia" w:ascii="仿宋_GB2312" w:hAnsi="仿宋_GB2312" w:eastAsia="仿宋_GB2312" w:cs="Times New Roman"/>
      <w:kern w:val="0"/>
      <w:sz w:val="32"/>
      <w:szCs w:val="22"/>
    </w:rPr>
  </w:style>
  <w:style w:type="paragraph" w:styleId="5">
    <w:name w:val="annotation text"/>
    <w:basedOn w:val="1"/>
    <w:qFormat/>
    <w:uiPriority w:val="0"/>
    <w:pPr>
      <w:jc w:val="left"/>
    </w:pPr>
  </w:style>
  <w:style w:type="paragraph" w:styleId="6">
    <w:name w:val="footer"/>
    <w:basedOn w:val="1"/>
    <w:link w:val="13"/>
    <w:qFormat/>
    <w:uiPriority w:val="0"/>
    <w:pPr>
      <w:tabs>
        <w:tab w:val="center" w:pos="4153"/>
        <w:tab w:val="right" w:pos="8306"/>
      </w:tabs>
      <w:snapToGrid w:val="0"/>
      <w:jc w:val="left"/>
    </w:pPr>
    <w:rPr>
      <w:sz w:val="18"/>
    </w:rPr>
  </w:style>
  <w:style w:type="paragraph" w:styleId="7">
    <w:name w:val="header"/>
    <w:basedOn w:val="1"/>
    <w:link w:val="15"/>
    <w:qFormat/>
    <w:uiPriority w:val="0"/>
    <w:pPr>
      <w:tabs>
        <w:tab w:val="center" w:pos="4153"/>
        <w:tab w:val="right" w:pos="8306"/>
      </w:tabs>
    </w:pPr>
  </w:style>
  <w:style w:type="character" w:styleId="10">
    <w:name w:val="annotation reference"/>
    <w:basedOn w:val="9"/>
    <w:qFormat/>
    <w:uiPriority w:val="0"/>
    <w:rPr>
      <w:sz w:val="16"/>
      <w:szCs w:val="16"/>
    </w:rPr>
  </w:style>
  <w:style w:type="character" w:customStyle="1" w:styleId="11">
    <w:name w:val="标题 1 字符"/>
    <w:basedOn w:val="9"/>
    <w:link w:val="2"/>
    <w:qFormat/>
    <w:uiPriority w:val="0"/>
    <w:rPr>
      <w:rFonts w:hint="default" w:ascii="Calibri" w:hAnsi="Calibri" w:eastAsia="MS Gothic" w:cs="Times New Roman"/>
      <w:b/>
      <w:bCs/>
      <w:color w:val="000000"/>
      <w:sz w:val="32"/>
      <w:szCs w:val="28"/>
    </w:rPr>
  </w:style>
  <w:style w:type="character" w:customStyle="1" w:styleId="12">
    <w:name w:val="标题 2 字符"/>
    <w:basedOn w:val="9"/>
    <w:link w:val="3"/>
    <w:qFormat/>
    <w:uiPriority w:val="0"/>
    <w:rPr>
      <w:rFonts w:hint="default" w:ascii="Calibri" w:hAnsi="Calibri" w:eastAsia="MS Gothic" w:cs="Times New Roman"/>
      <w:b/>
      <w:bCs/>
      <w:color w:val="000000"/>
      <w:sz w:val="32"/>
      <w:szCs w:val="26"/>
    </w:rPr>
  </w:style>
  <w:style w:type="character" w:customStyle="1" w:styleId="13">
    <w:name w:val="页脚 字符"/>
    <w:basedOn w:val="9"/>
    <w:link w:val="6"/>
    <w:qFormat/>
    <w:uiPriority w:val="0"/>
    <w:rPr>
      <w:rFonts w:hint="eastAsia" w:ascii="仿宋_GB2312" w:hAnsi="仿宋_GB2312" w:eastAsia="仿宋_GB2312" w:cs="仿宋_GB2312"/>
      <w:sz w:val="32"/>
    </w:rPr>
  </w:style>
  <w:style w:type="paragraph" w:customStyle="1" w:styleId="14">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5">
    <w:name w:val="页眉 字符"/>
    <w:basedOn w:val="9"/>
    <w:link w:val="7"/>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b1a6fda0-897c-415a-813a-0ec58e313bcf</errorID>
      <errorWord>。</errorWord>
      <group>L1_AI</group>
      <groupName>深度校对</groupName>
      <ability>L2_AI_Grammar</ability>
      <abilityName>语法纠错</abilityName>
      <candidateList>
        <item>的要求。</item>
      </candidateList>
      <explain/>
      <paraID>2B97CFE5</paraID>
      <start>29</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89eaf3-73a6-4a96-9f58-4f389f80077b}">
  <ds:schemaRefs/>
</ds:datastoreItem>
</file>

<file path=docProps/app.xml><?xml version="1.0" encoding="utf-8"?>
<Properties xmlns="http://schemas.openxmlformats.org/officeDocument/2006/extended-properties" xmlns:vt="http://schemas.openxmlformats.org/officeDocument/2006/docPropsVTypes">
  <Template>Normal</Template>
  <Pages>9</Pages>
  <Words>4059</Words>
  <Characters>4080</Characters>
  <Lines>94</Lines>
  <Paragraphs>71</Paragraphs>
  <TotalTime>3</TotalTime>
  <ScaleCrop>false</ScaleCrop>
  <LinksUpToDate>false</LinksUpToDate>
  <CharactersWithSpaces>4080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2026-08-28T06:41:00Z</dcterms:created>
  <dc:creator>吴坤津</dc:creator>
  <cp:lastModifiedBy>Admin</cp:lastModifiedBy>
  <dcterms:modified xsi:type="dcterms:W3CDTF">2026-09-11T01:47:57Z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2D56D444B3A942ACB537409A72BE5ECE_13</vt:lpwstr>
  </property>
  <property fmtid="{D5CDD505-2E9C-101B-9397-08002B2CF9AE}" pid="4" name="KSOTemplateDocerSaveRecord">
    <vt:lpwstr>eyJoZGlkIjoiMGM5ODg3ZmM4NjExZDA2NzRlOWVlOWY0NGFkODc3ZTkiLCJ1c2VySWQiOiIxNTEzMzkzODAyIn0=</vt:lpwstr>
  </property>
</Properties>
</file>