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Times New Roman"/>
          <w:b/>
          <w:bCs/>
          <w:sz w:val="36"/>
          <w:szCs w:val="32"/>
        </w:rPr>
      </w:pPr>
      <w:r>
        <w:rPr>
          <w:rFonts w:hint="eastAsia" w:ascii="仿宋" w:hAnsi="仿宋" w:eastAsia="仿宋" w:cs="Times New Roman"/>
          <w:b/>
          <w:bCs/>
          <w:sz w:val="36"/>
          <w:szCs w:val="32"/>
        </w:rPr>
        <w:t>广东财经大学会计学院研究生暑期训练营方案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一、课程目的</w:t>
      </w:r>
    </w:p>
    <w:p>
      <w:pPr>
        <w:spacing w:line="520" w:lineRule="exact"/>
        <w:ind w:firstLine="480" w:firstLineChars="200"/>
        <w:rPr>
          <w:rFonts w:ascii="仿宋" w:hAnsi="仿宋" w:eastAsia="仿宋" w:cs="仿宋_GB2312"/>
          <w:color w:val="333333"/>
          <w:sz w:val="24"/>
          <w:szCs w:val="24"/>
        </w:rPr>
      </w:pPr>
      <w:r>
        <w:rPr>
          <w:rFonts w:hint="eastAsia" w:ascii="仿宋" w:hAnsi="仿宋" w:eastAsia="仿宋" w:cs="仿宋_GB2312"/>
          <w:color w:val="333333"/>
          <w:sz w:val="24"/>
          <w:szCs w:val="24"/>
        </w:rPr>
        <w:t>为进一步提升学校研究生培养质量，聚焦会计学院研究生的科研能力、基本方法和主流软件，提升202</w:t>
      </w:r>
      <w:r>
        <w:rPr>
          <w:rFonts w:ascii="仿宋" w:hAnsi="仿宋" w:eastAsia="仿宋" w:cs="仿宋_GB2312"/>
          <w:color w:val="333333"/>
          <w:sz w:val="24"/>
          <w:szCs w:val="24"/>
        </w:rPr>
        <w:t>2</w:t>
      </w:r>
      <w:r>
        <w:rPr>
          <w:rFonts w:hint="eastAsia" w:ascii="仿宋" w:hAnsi="仿宋" w:eastAsia="仿宋" w:cs="仿宋_GB2312"/>
          <w:color w:val="333333"/>
          <w:sz w:val="24"/>
          <w:szCs w:val="24"/>
        </w:rPr>
        <w:t>级研究生的财务会计、公司治理及资本市场等相关问题的实证研究与案例研究能力，力争提升2</w:t>
      </w:r>
      <w:r>
        <w:rPr>
          <w:rFonts w:ascii="仿宋" w:hAnsi="仿宋" w:eastAsia="仿宋" w:cs="仿宋_GB2312"/>
          <w:color w:val="333333"/>
          <w:sz w:val="24"/>
          <w:szCs w:val="24"/>
        </w:rPr>
        <w:t>022</w:t>
      </w:r>
      <w:r>
        <w:rPr>
          <w:rFonts w:hint="eastAsia" w:ascii="仿宋" w:hAnsi="仿宋" w:eastAsia="仿宋" w:cs="仿宋_GB2312"/>
          <w:color w:val="333333"/>
          <w:sz w:val="24"/>
          <w:szCs w:val="24"/>
        </w:rPr>
        <w:t>级新生的综合素养，为研究生入学后的专业学习和科研能力训练奠定基础。</w:t>
      </w:r>
    </w:p>
    <w:p>
      <w:pPr>
        <w:spacing w:line="520" w:lineRule="exact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二、授课对象与方式</w:t>
      </w:r>
    </w:p>
    <w:p>
      <w:pPr>
        <w:spacing w:line="520" w:lineRule="exact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1、授课对象</w:t>
      </w:r>
    </w:p>
    <w:p>
      <w:pPr>
        <w:spacing w:line="520" w:lineRule="exact"/>
        <w:ind w:firstLine="480" w:firstLineChars="200"/>
        <w:rPr>
          <w:rFonts w:ascii="仿宋" w:hAnsi="仿宋" w:eastAsia="仿宋" w:cs="仿宋_GB2312"/>
          <w:color w:val="333333"/>
          <w:sz w:val="24"/>
          <w:szCs w:val="24"/>
        </w:rPr>
      </w:pPr>
      <w:r>
        <w:rPr>
          <w:rFonts w:hint="eastAsia" w:ascii="仿宋" w:hAnsi="仿宋" w:eastAsia="仿宋" w:cs="仿宋_GB2312"/>
          <w:color w:val="333333"/>
          <w:sz w:val="24"/>
          <w:szCs w:val="24"/>
        </w:rPr>
        <w:t>202</w:t>
      </w:r>
      <w:r>
        <w:rPr>
          <w:rFonts w:ascii="仿宋" w:hAnsi="仿宋" w:eastAsia="仿宋" w:cs="仿宋_GB2312"/>
          <w:color w:val="333333"/>
          <w:sz w:val="24"/>
          <w:szCs w:val="24"/>
        </w:rPr>
        <w:t>2</w:t>
      </w:r>
      <w:r>
        <w:rPr>
          <w:rFonts w:hint="eastAsia" w:ascii="仿宋" w:hAnsi="仿宋" w:eastAsia="仿宋" w:cs="仿宋_GB2312"/>
          <w:color w:val="333333"/>
          <w:sz w:val="24"/>
          <w:szCs w:val="24"/>
        </w:rPr>
        <w:t>级研究生、在读研究生和在读本科生，其中202</w:t>
      </w:r>
      <w:r>
        <w:rPr>
          <w:rFonts w:ascii="仿宋" w:hAnsi="仿宋" w:eastAsia="仿宋" w:cs="仿宋_GB2312"/>
          <w:color w:val="333333"/>
          <w:sz w:val="24"/>
          <w:szCs w:val="24"/>
        </w:rPr>
        <w:t>2</w:t>
      </w:r>
      <w:r>
        <w:rPr>
          <w:rFonts w:hint="eastAsia" w:ascii="仿宋" w:hAnsi="仿宋" w:eastAsia="仿宋" w:cs="仿宋_GB2312"/>
          <w:color w:val="333333"/>
          <w:sz w:val="24"/>
          <w:szCs w:val="24"/>
        </w:rPr>
        <w:t>级研究生新生必须参加，在读研究生和在读本科生自愿参加。</w:t>
      </w:r>
    </w:p>
    <w:p>
      <w:pPr>
        <w:spacing w:line="360" w:lineRule="auto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2、授课形式：线上+线下，以老带新</w:t>
      </w:r>
    </w:p>
    <w:p>
      <w:pPr>
        <w:spacing w:line="360" w:lineRule="auto"/>
        <w:rPr>
          <w:rFonts w:ascii="仿宋" w:hAnsi="仿宋" w:eastAsia="仿宋" w:cs="仿宋_GB2312"/>
          <w:color w:val="333333"/>
          <w:sz w:val="24"/>
          <w:szCs w:val="24"/>
        </w:rPr>
      </w:pPr>
      <w:r>
        <w:rPr>
          <w:rFonts w:hint="eastAsia" w:ascii="仿宋" w:hAnsi="仿宋" w:eastAsia="仿宋" w:cs="仿宋_GB2312"/>
          <w:color w:val="333333"/>
          <w:sz w:val="24"/>
          <w:szCs w:val="24"/>
        </w:rPr>
        <w:t>专题讲解+学生汇报+成果展示三种模式相结合</w:t>
      </w:r>
    </w:p>
    <w:p>
      <w:pPr>
        <w:spacing w:line="360" w:lineRule="auto"/>
        <w:rPr>
          <w:rFonts w:ascii="仿宋" w:hAnsi="仿宋" w:eastAsia="仿宋" w:cs="仿宋_GB2312"/>
          <w:color w:val="333333"/>
          <w:sz w:val="24"/>
          <w:szCs w:val="24"/>
        </w:rPr>
      </w:pPr>
      <w:r>
        <w:rPr>
          <w:rFonts w:hint="eastAsia" w:ascii="仿宋" w:hAnsi="仿宋" w:eastAsia="仿宋" w:cs="仿宋_GB2312"/>
          <w:color w:val="333333"/>
          <w:sz w:val="24"/>
          <w:szCs w:val="24"/>
        </w:rPr>
        <w:t>（1）专题讲解：通过专题模块讲解实证与案例的相关研究，青年教师通过线上或线下全程参与</w:t>
      </w:r>
    </w:p>
    <w:p>
      <w:pPr>
        <w:spacing w:line="360" w:lineRule="auto"/>
        <w:rPr>
          <w:rFonts w:ascii="仿宋" w:hAnsi="仿宋" w:eastAsia="仿宋" w:cs="仿宋_GB2312"/>
          <w:color w:val="333333"/>
          <w:sz w:val="24"/>
          <w:szCs w:val="24"/>
        </w:rPr>
      </w:pPr>
      <w:r>
        <w:rPr>
          <w:rFonts w:hint="eastAsia" w:ascii="仿宋" w:hAnsi="仿宋" w:eastAsia="仿宋" w:cs="仿宋_GB2312"/>
          <w:color w:val="333333"/>
          <w:sz w:val="24"/>
          <w:szCs w:val="24"/>
        </w:rPr>
        <w:t>（2）学生汇报： 2</w:t>
      </w:r>
      <w:r>
        <w:rPr>
          <w:rFonts w:ascii="仿宋" w:hAnsi="仿宋" w:eastAsia="仿宋" w:cs="仿宋_GB2312"/>
          <w:color w:val="333333"/>
          <w:sz w:val="24"/>
          <w:szCs w:val="24"/>
        </w:rPr>
        <w:t>022</w:t>
      </w:r>
      <w:r>
        <w:rPr>
          <w:rFonts w:hint="eastAsia" w:ascii="仿宋" w:hAnsi="仿宋" w:eastAsia="仿宋" w:cs="仿宋_GB2312"/>
          <w:color w:val="333333"/>
          <w:sz w:val="24"/>
          <w:szCs w:val="24"/>
        </w:rPr>
        <w:t>级研究生交叉分享经验及汇报论文或书籍</w:t>
      </w:r>
    </w:p>
    <w:p>
      <w:pPr>
        <w:spacing w:line="360" w:lineRule="auto"/>
        <w:rPr>
          <w:rFonts w:ascii="仿宋" w:hAnsi="仿宋" w:eastAsia="仿宋" w:cs="仿宋_GB2312"/>
          <w:color w:val="333333"/>
          <w:sz w:val="24"/>
          <w:szCs w:val="24"/>
        </w:rPr>
      </w:pPr>
      <w:r>
        <w:rPr>
          <w:rFonts w:hint="eastAsia" w:ascii="仿宋" w:hAnsi="仿宋" w:eastAsia="仿宋" w:cs="仿宋_GB2312"/>
          <w:color w:val="333333"/>
          <w:sz w:val="24"/>
          <w:szCs w:val="24"/>
        </w:rPr>
        <w:t>（3）成果展示：采用阅读报告或撰写小论文的形式，在所有模块结课后的两周内交研究生秘书，再由教师评分。</w:t>
      </w:r>
    </w:p>
    <w:p>
      <w:pPr>
        <w:spacing w:line="360" w:lineRule="auto"/>
        <w:rPr>
          <w:rFonts w:ascii="仿宋" w:hAnsi="仿宋" w:eastAsia="仿宋" w:cs="仿宋_GB2312"/>
          <w:color w:val="333333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8"/>
        </w:rPr>
        <w:t>四、日程安排</w:t>
      </w:r>
    </w:p>
    <w:tbl>
      <w:tblPr>
        <w:tblStyle w:val="3"/>
        <w:tblW w:w="5373" w:type="pct"/>
        <w:tblInd w:w="-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081"/>
        <w:gridCol w:w="962"/>
        <w:gridCol w:w="1008"/>
        <w:gridCol w:w="1526"/>
        <w:gridCol w:w="1017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讲授内容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讲授人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跟班教师（待定）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讲授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讲授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腾讯会议号、密码（待定）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模块1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开营典礼暨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论文阅读指引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方法论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开营典礼暨暑期阅读指引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杨志强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学院领导、老师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9：00-9：30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开营典礼暨暑期阅读指引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主义科学方法论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杨志强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9：30-11：30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主义科学方法论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杨志强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经典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论文的阅读与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汇报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杨志强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9：00-11：30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7月24日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优秀研究生学习、读书经验分享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杨志强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7月2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优秀研究生学习、读书经验分享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模块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2：实证研究方法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实证研究方法论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廖明情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上午9:30-11:30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7月31日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论文的阅读与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汇报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廖明情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7月31日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如何开展实证会计研究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罗勇根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上午9:30-11:30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8月6日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财会审研究前沿与话题选择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罗勇根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8月6日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实证论文的阅读与汇报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罗勇根</w:t>
            </w: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上午9:30-11:30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8月7日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优秀研究生学习、读书经验分享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黄志军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8月7日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优秀研究生学习、读书经验分享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模块3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：案例研究方法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案例论文选题及研究范式</w:t>
            </w:r>
          </w:p>
        </w:tc>
        <w:tc>
          <w:tcPr>
            <w:tcW w:w="525" w:type="pct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陈建林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上午9:30-11:30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8月13日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历年优秀案例论文赏析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陈建林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8月13日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案例论文的阅读与汇报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陈建林</w:t>
            </w: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上午9:30-11:30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8月14日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优秀研究生学习、读书经验分享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8月14日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优秀研究生学习、读书经验分享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模块4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大数据思维和方法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财会审研究的大数据思维和方法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孔荫莹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上午9:30-11:30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Hadoop大数据平台和Python编程演示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孔荫莹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学生作品演示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孔荫莹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上午9:30-11:30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8月21日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优秀研究生学习、读书经验分享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在读研究生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雷宇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8月21日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优秀研究生学习、读书经验分享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模块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：学科前沿研究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领域与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方法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财会审学科前沿研究与方法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雷宇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上午9:30-11:30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8月27日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财会审实务热点、工作经验分享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校外实务专家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杨志强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下午14:30-16:30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8月27日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模块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素质教育专题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研究生素质教育专题介绍（一）——研究生党支部、实习实践与志愿服务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黄志军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9:00-10:00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8月28日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研究生素质教育专题介绍（二）——研究生团学活动、学术竞赛、奖助体系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10:00-11:00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8月28日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6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闭营仪式与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最终成果形式</w:t>
            </w:r>
          </w:p>
        </w:tc>
        <w:tc>
          <w:tcPr>
            <w:tcW w:w="4333" w:type="pct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研究生新生暑期训练营成果展示（2022级全体研究生）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33" w:type="pct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闭营总结（雷宇）11：00-11：30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jU5OTZmZDE3MDcyZThiZjY0ZWIyMGY1ZTkxYTIifQ=="/>
  </w:docVars>
  <w:rsids>
    <w:rsidRoot w:val="3E5E6B90"/>
    <w:rsid w:val="0C0B585A"/>
    <w:rsid w:val="10141D25"/>
    <w:rsid w:val="3E5E6B90"/>
    <w:rsid w:val="44F517A8"/>
    <w:rsid w:val="4E824F2D"/>
    <w:rsid w:val="532F25A5"/>
    <w:rsid w:val="62DE5872"/>
    <w:rsid w:val="69A81435"/>
    <w:rsid w:val="738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1422</Characters>
  <Lines>0</Lines>
  <Paragraphs>0</Paragraphs>
  <TotalTime>2</TotalTime>
  <ScaleCrop>false</ScaleCrop>
  <LinksUpToDate>false</LinksUpToDate>
  <CharactersWithSpaces>1424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2022-05-30T04:49:00Z</dcterms:created>
  <dc:creator>Aryoun</dc:creator>
  <cp:lastModifiedBy>Aryoun</cp:lastModifiedBy>
  <dcterms:modified xsi:type="dcterms:W3CDTF">2022-05-30T08:13:55Z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07282729039C43E4B1ABBE49E1E4B19E</vt:lpwstr>
  </property>
</Properties>
</file>