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广东财经大学专业学位研究生案例大赛</w:t>
      </w:r>
      <w:r>
        <w:rPr>
          <w:rFonts w:hint="eastAsia" w:ascii="宋体" w:hAnsi="宋体"/>
          <w:b/>
          <w:sz w:val="32"/>
          <w:szCs w:val="32"/>
        </w:rPr>
        <w:t>评分细则表</w:t>
      </w: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（现场评审阶段）</w:t>
      </w: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6"/>
        <w:tblW w:w="9624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7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二级指标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案例分析解决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40分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案例描述准确、存在问题的关键点把握好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2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报告层次清晰、格式符合要求，是否提炼出新理念或者有启发借鉴意义以及一套分析解决模式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分析角度正确新颖、具有一定深度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解决方案科学、合理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，解决措施实用、具有创新性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展示材料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（总分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分）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展示材料制作简洁大方、美观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展示内容与报告内容一致性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展示方式多元化（动画、视频等）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展示内容专业性强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现场展示效果良好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8"/>
                <w:szCs w:val="28"/>
                <w:lang w:eastAsia="zh-CN"/>
              </w:rPr>
              <w:t>团队合作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8"/>
                <w:szCs w:val="28"/>
                <w:lang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20分）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展示、分析、互动环节全员参与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分工合理、衔接流畅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能力互补、表现默契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时间把握准确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现场表现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（总分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分）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答题思维敏捷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答题紧扣评委问题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表达清楚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现场表现无紧张或小动作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5分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2058"/>
    <w:rsid w:val="18173622"/>
    <w:rsid w:val="2B092058"/>
    <w:rsid w:val="5CEA3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2017-05-15T07:11:00Z</dcterms:created>
  <dc:creator>GDUF</dc:creator>
  <cp:lastModifiedBy>GDUF</cp:lastModifiedBy>
  <cp:lastPrinted>2017-06-07T02:11:00Z</cp:lastPrinted>
  <dcterms:modified xsi:type="dcterms:W3CDTF">2017-06-08T01:01:32Z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2052-10.1.0.6500</vt:lpwstr>
  </property>
</Properties>
</file>