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00" w:lineRule="atLeast"/>
        <w:ind w:left="0" w:leftChars="0" w:right="0" w:firstLine="0" w:firstLineChars="0"/>
        <w:jc w:val="center"/>
        <w:rPr>
          <w:rFonts w:hint="eastAsia" w:ascii="方正小标宋简体" w:hAnsi="方正小标宋简体" w:eastAsia="方正小标宋简体" w:cs="方正小标宋简体"/>
          <w:i w:val="0"/>
          <w:iCs w:val="0"/>
          <w:caps w:val="0"/>
          <w:color w:val="000000"/>
          <w:spacing w:val="0"/>
          <w:sz w:val="44"/>
          <w:szCs w:val="44"/>
          <w:u w:val="none"/>
          <w:lang w:eastAsia="zh-CN"/>
        </w:rPr>
      </w:pPr>
      <w:r>
        <w:rPr>
          <w:rFonts w:hint="eastAsia" w:ascii="方正小标宋简体" w:hAnsi="方正小标宋简体" w:eastAsia="方正小标宋简体" w:cs="方正小标宋简体"/>
          <w:b/>
          <w:bCs/>
          <w:i w:val="0"/>
          <w:iCs w:val="0"/>
          <w:caps w:val="0"/>
          <w:color w:val="000000"/>
          <w:spacing w:val="0"/>
          <w:sz w:val="44"/>
          <w:szCs w:val="44"/>
          <w:u w:val="none"/>
          <w:lang w:eastAsia="zh-CN"/>
        </w:rPr>
        <w:t>学位与研究生教育改革研究项目申报指南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00" w:lineRule="atLeast"/>
        <w:ind w:right="0" w:firstLine="640" w:firstLineChars="200"/>
        <w:rPr>
          <w:rFonts w:hint="eastAsia" w:ascii="仿宋_GB2312" w:hAnsi="仿宋_GB2312" w:eastAsia="仿宋_GB2312" w:cs="仿宋_GB2312"/>
          <w:i w:val="0"/>
          <w:iCs w:val="0"/>
          <w:caps w:val="0"/>
          <w:color w:val="000000"/>
          <w:spacing w:val="0"/>
          <w:sz w:val="32"/>
          <w:szCs w:val="32"/>
          <w:u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00" w:lineRule="atLeast"/>
        <w:ind w:righ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u w:val="none"/>
        </w:rPr>
        <w:t>项目应以提高研究生培养质量为目的。研究内容应针对我校面临的实际问题，准确把握时代特征，增强科学预见性；对采用的观点和材料应有充分深入的了解；提出的理论应具有原创性和开拓性，科学总结学位与研究生教育的发展规律；提出的建议和措施应具有针对性、实效性和可操作性。</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000000"/>
          <w:spacing w:val="0"/>
          <w:kern w:val="0"/>
          <w:sz w:val="32"/>
          <w:szCs w:val="32"/>
          <w:u w:val="none"/>
          <w:lang w:val="en-US" w:eastAsia="zh-CN" w:bidi="ar"/>
        </w:rPr>
      </w:pPr>
      <w:r>
        <w:rPr>
          <w:rFonts w:hint="eastAsia" w:ascii="仿宋_GB2312" w:hAnsi="仿宋_GB2312" w:eastAsia="仿宋_GB2312" w:cs="仿宋_GB2312"/>
          <w:i w:val="0"/>
          <w:iCs w:val="0"/>
          <w:caps w:val="0"/>
          <w:color w:val="000000"/>
          <w:spacing w:val="0"/>
          <w:sz w:val="32"/>
          <w:szCs w:val="32"/>
          <w:u w:val="none"/>
          <w:lang w:val="en-US" w:eastAsia="zh-CN"/>
        </w:rPr>
        <w:t>1.本年度</w:t>
      </w:r>
      <w:bookmarkStart w:id="0" w:name="_GoBack"/>
      <w:bookmarkEnd w:id="0"/>
      <w:r>
        <w:rPr>
          <w:rFonts w:hint="eastAsia" w:ascii="仿宋_GB2312" w:hAnsi="仿宋_GB2312" w:eastAsia="仿宋_GB2312" w:cs="仿宋_GB2312"/>
          <w:i w:val="0"/>
          <w:iCs w:val="0"/>
          <w:caps w:val="0"/>
          <w:color w:val="000000"/>
          <w:spacing w:val="0"/>
          <w:sz w:val="32"/>
          <w:szCs w:val="32"/>
          <w:u w:val="none"/>
        </w:rPr>
        <w:t>优先支持</w:t>
      </w:r>
      <w:r>
        <w:rPr>
          <w:rFonts w:hint="eastAsia" w:ascii="仿宋_GB2312" w:hAnsi="仿宋_GB2312" w:eastAsia="仿宋_GB2312" w:cs="仿宋_GB2312"/>
          <w:i w:val="0"/>
          <w:iCs w:val="0"/>
          <w:caps w:val="0"/>
          <w:color w:val="000000"/>
          <w:spacing w:val="0"/>
          <w:kern w:val="0"/>
          <w:sz w:val="32"/>
          <w:szCs w:val="32"/>
          <w:u w:val="none"/>
          <w:lang w:val="en-US" w:eastAsia="zh-CN" w:bidi="ar"/>
        </w:rPr>
        <w:t>以下重点领域：</w:t>
      </w:r>
    </w:p>
    <w:p>
      <w:pPr>
        <w:numPr>
          <w:ilvl w:val="0"/>
          <w:numId w:val="0"/>
        </w:numPr>
        <w:bidi w:val="0"/>
        <w:ind w:firstLine="640" w:firstLineChars="200"/>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专业学位研究生专项改革项目聚焦专业学位研究生教育质量的全面提升，为服务地方行业产业转型升级和创新发展提供强有力的人才支撑。主要针对专业学位研究生教育的目标定位、资源配置、培养方案设置、导师队伍建设、考核评价机制、质量评估体系与质量监督机制等方面开展理论与实践对策研究。</w:t>
      </w:r>
    </w:p>
    <w:p>
      <w:pPr>
        <w:numPr>
          <w:ilvl w:val="0"/>
          <w:numId w:val="0"/>
        </w:numPr>
        <w:bidi w:val="0"/>
        <w:ind w:firstLine="640" w:firstLineChars="200"/>
        <w:rPr>
          <w:rFonts w:hint="eastAsia" w:ascii="仿宋_GB2312" w:hAnsi="仿宋_GB2312" w:eastAsia="仿宋_GB2312" w:cs="仿宋_GB2312"/>
          <w:i w:val="0"/>
          <w:iCs w:val="0"/>
          <w:caps w:val="0"/>
          <w:color w:val="000000"/>
          <w:spacing w:val="0"/>
          <w:sz w:val="32"/>
          <w:szCs w:val="32"/>
          <w:u w:val="none"/>
          <w:lang w:eastAsia="zh-CN"/>
        </w:rPr>
      </w:pPr>
      <w:r>
        <w:rPr>
          <w:rFonts w:hint="eastAsia" w:ascii="仿宋_GB2312" w:hAnsi="仿宋_GB2312" w:eastAsia="仿宋_GB2312" w:cs="仿宋_GB2312"/>
          <w:i w:val="0"/>
          <w:iCs w:val="0"/>
          <w:caps w:val="0"/>
          <w:color w:val="000000"/>
          <w:spacing w:val="0"/>
          <w:sz w:val="32"/>
          <w:szCs w:val="32"/>
          <w:u w:val="none"/>
          <w:lang w:eastAsia="zh-CN"/>
        </w:rPr>
        <w:t>各培养单位应</w:t>
      </w:r>
      <w:r>
        <w:rPr>
          <w:rFonts w:hint="eastAsia" w:ascii="仿宋_GB2312" w:hAnsi="仿宋_GB2312" w:eastAsia="仿宋_GB2312" w:cs="仿宋_GB2312"/>
          <w:sz w:val="32"/>
          <w:szCs w:val="32"/>
          <w:lang w:eastAsia="zh-CN"/>
        </w:rPr>
        <w:t>围绕研究生分类培养和分类评价改革机制建设，</w:t>
      </w:r>
      <w:r>
        <w:rPr>
          <w:rFonts w:hint="eastAsia" w:ascii="仿宋_GB2312" w:eastAsia="仿宋_GB2312"/>
          <w:sz w:val="32"/>
          <w:szCs w:val="32"/>
        </w:rPr>
        <w:t>积极</w:t>
      </w:r>
      <w:r>
        <w:rPr>
          <w:rFonts w:hint="eastAsia" w:ascii="仿宋_GB2312" w:eastAsia="仿宋_GB2312"/>
          <w:sz w:val="32"/>
          <w:szCs w:val="32"/>
          <w:lang w:eastAsia="zh-CN"/>
        </w:rPr>
        <w:t>开展改革实践并注重培育教育教学成果。</w:t>
      </w:r>
      <w:r>
        <w:rPr>
          <w:rFonts w:hint="eastAsia" w:ascii="仿宋_GB2312" w:hAnsi="仿宋_GB2312" w:eastAsia="仿宋_GB2312" w:cs="仿宋_GB2312"/>
          <w:i w:val="0"/>
          <w:iCs w:val="0"/>
          <w:caps w:val="0"/>
          <w:color w:val="000000"/>
          <w:spacing w:val="0"/>
          <w:sz w:val="32"/>
          <w:szCs w:val="32"/>
          <w:u w:val="none"/>
          <w:lang w:eastAsia="zh-CN"/>
        </w:rPr>
        <w:t>可聚焦于“构建专业学位研究生课程评价体系、专业学位研究生实践创新能力评价体系、专业学位研究生指导教师评价体系，设计评价方案”，进一步完善研究生分类评价和实践能力评价体系。</w:t>
      </w:r>
    </w:p>
    <w:p>
      <w:pPr>
        <w:ind w:firstLine="640" w:firstLineChars="200"/>
        <w:rPr>
          <w:rFonts w:hint="eastAsia" w:ascii="仿宋" w:hAnsi="仿宋" w:cs="仿宋_GB2312"/>
          <w:szCs w:val="32"/>
          <w:lang w:val="en-US" w:eastAsia="zh-CN"/>
        </w:rPr>
      </w:pPr>
    </w:p>
    <w:p>
      <w:pPr>
        <w:ind w:firstLine="640" w:firstLineChars="200"/>
        <w:rPr>
          <w:rFonts w:hint="eastAsia" w:ascii="仿宋" w:hAnsi="仿宋" w:eastAsia="仿宋" w:cs="仿宋_GB2312"/>
          <w:b w:val="0"/>
          <w:bCs w:val="0"/>
          <w:sz w:val="32"/>
          <w:szCs w:val="32"/>
        </w:rPr>
      </w:pPr>
      <w:r>
        <w:rPr>
          <w:rFonts w:hint="eastAsia" w:ascii="仿宋" w:hAnsi="仿宋" w:cs="仿宋_GB2312"/>
          <w:szCs w:val="32"/>
          <w:lang w:val="en-US" w:eastAsia="zh-CN"/>
        </w:rPr>
        <w:t>2.</w:t>
      </w:r>
      <w:r>
        <w:rPr>
          <w:rFonts w:hint="eastAsia" w:ascii="仿宋" w:hAnsi="仿宋" w:eastAsia="仿宋" w:cs="仿宋_GB2312"/>
          <w:b w:val="0"/>
          <w:bCs w:val="0"/>
          <w:sz w:val="32"/>
          <w:szCs w:val="32"/>
        </w:rPr>
        <w:t>项目选题</w:t>
      </w:r>
      <w:r>
        <w:rPr>
          <w:rFonts w:hint="eastAsia" w:ascii="仿宋" w:hAnsi="仿宋" w:cs="仿宋_GB2312"/>
          <w:b w:val="0"/>
          <w:bCs w:val="0"/>
          <w:sz w:val="32"/>
          <w:szCs w:val="32"/>
          <w:lang w:eastAsia="zh-CN"/>
        </w:rPr>
        <w:t>范围</w:t>
      </w:r>
      <w:r>
        <w:rPr>
          <w:rFonts w:hint="eastAsia" w:ascii="仿宋" w:hAnsi="仿宋" w:eastAsia="仿宋" w:cs="仿宋_GB2312"/>
          <w:b w:val="0"/>
          <w:bCs w:val="0"/>
          <w:sz w:val="32"/>
          <w:szCs w:val="32"/>
        </w:rPr>
        <w:t>包括但不限于以下内容：</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）研究生学术学位与专业学位分类发展体制机制改革</w:t>
      </w:r>
    </w:p>
    <w:p>
      <w:pPr>
        <w:rPr>
          <w:rFonts w:hint="eastAsia" w:ascii="仿宋_GB2312" w:hAnsi="仿宋_GB2312" w:eastAsia="仿宋_GB2312" w:cs="仿宋_GB2312"/>
          <w:i w:val="0"/>
          <w:iCs w:val="0"/>
          <w:caps w:val="0"/>
          <w:color w:val="000000"/>
          <w:spacing w:val="0"/>
          <w:kern w:val="0"/>
          <w:sz w:val="32"/>
          <w:szCs w:val="32"/>
          <w:u w:val="none"/>
          <w:lang w:val="en-US" w:eastAsia="zh-CN" w:bidi="ar"/>
        </w:rPr>
      </w:pPr>
      <w:r>
        <w:rPr>
          <w:rFonts w:hint="eastAsia" w:ascii="仿宋_GB2312" w:hAnsi="仿宋_GB2312" w:eastAsia="仿宋_GB2312" w:cs="仿宋_GB2312"/>
          <w:i w:val="0"/>
          <w:iCs w:val="0"/>
          <w:caps w:val="0"/>
          <w:color w:val="000000"/>
          <w:spacing w:val="0"/>
          <w:kern w:val="0"/>
          <w:sz w:val="32"/>
          <w:szCs w:val="32"/>
          <w:u w:val="none"/>
          <w:lang w:val="en-US" w:eastAsia="zh-CN" w:bidi="ar"/>
        </w:rPr>
        <w:t>（2）研究生学术学位与专业学位分类培养模式探索研究</w:t>
      </w:r>
    </w:p>
    <w:p>
      <w:pPr>
        <w:rPr>
          <w:rFonts w:hint="eastAsia" w:ascii="仿宋_GB2312" w:hAnsi="仿宋_GB2312" w:eastAsia="仿宋_GB2312" w:cs="仿宋_GB2312"/>
          <w:i w:val="0"/>
          <w:iCs w:val="0"/>
          <w:caps w:val="0"/>
          <w:color w:val="000000"/>
          <w:spacing w:val="0"/>
          <w:kern w:val="0"/>
          <w:sz w:val="32"/>
          <w:szCs w:val="32"/>
          <w:u w:val="none"/>
          <w:lang w:val="en-US" w:eastAsia="zh-CN" w:bidi="ar"/>
        </w:rPr>
      </w:pPr>
      <w:r>
        <w:rPr>
          <w:rFonts w:hint="eastAsia" w:ascii="仿宋_GB2312" w:hAnsi="仿宋_GB2312" w:eastAsia="仿宋_GB2312" w:cs="仿宋_GB2312"/>
          <w:i w:val="0"/>
          <w:iCs w:val="0"/>
          <w:caps w:val="0"/>
          <w:color w:val="000000"/>
          <w:spacing w:val="0"/>
          <w:kern w:val="0"/>
          <w:sz w:val="32"/>
          <w:szCs w:val="32"/>
          <w:u w:val="none"/>
          <w:lang w:val="en-US" w:eastAsia="zh-CN" w:bidi="ar"/>
        </w:rPr>
        <w:t>（3）研究生人才培养方案修订/制定研究</w:t>
      </w:r>
    </w:p>
    <w:p>
      <w:pPr>
        <w:spacing w:line="540" w:lineRule="exact"/>
        <w:rPr>
          <w:rFonts w:hint="eastAsia" w:ascii="仿宋_GB2312" w:hAnsi="仿宋_GB2312" w:eastAsia="仿宋_GB2312" w:cs="仿宋_GB2312"/>
          <w:i w:val="0"/>
          <w:iCs w:val="0"/>
          <w:caps w:val="0"/>
          <w:color w:val="000000"/>
          <w:spacing w:val="0"/>
          <w:kern w:val="0"/>
          <w:sz w:val="32"/>
          <w:szCs w:val="32"/>
          <w:u w:val="none"/>
          <w:lang w:val="en-US" w:eastAsia="zh-CN" w:bidi="ar"/>
        </w:rPr>
      </w:pPr>
      <w:r>
        <w:rPr>
          <w:rFonts w:hint="eastAsia" w:ascii="仿宋_GB2312" w:hAnsi="仿宋_GB2312" w:eastAsia="仿宋_GB2312" w:cs="仿宋_GB2312"/>
          <w:i w:val="0"/>
          <w:iCs w:val="0"/>
          <w:caps w:val="0"/>
          <w:color w:val="000000"/>
          <w:spacing w:val="0"/>
          <w:kern w:val="0"/>
          <w:sz w:val="32"/>
          <w:szCs w:val="32"/>
          <w:u w:val="none"/>
          <w:lang w:val="en-US" w:eastAsia="zh-CN" w:bidi="ar"/>
        </w:rPr>
        <w:t>（4）研究生教育评价改革实践与探索</w:t>
      </w:r>
    </w:p>
    <w:p>
      <w:pPr>
        <w:rPr>
          <w:rFonts w:hint="eastAsia" w:ascii="仿宋_GB2312" w:hAnsi="仿宋_GB2312" w:eastAsia="仿宋_GB2312" w:cs="仿宋_GB2312"/>
          <w:i w:val="0"/>
          <w:iCs w:val="0"/>
          <w:caps w:val="0"/>
          <w:color w:val="000000"/>
          <w:spacing w:val="0"/>
          <w:kern w:val="0"/>
          <w:sz w:val="32"/>
          <w:szCs w:val="32"/>
          <w:u w:val="none"/>
          <w:lang w:val="en-US" w:eastAsia="zh-CN" w:bidi="ar"/>
        </w:rPr>
      </w:pPr>
      <w:r>
        <w:rPr>
          <w:rFonts w:hint="eastAsia" w:ascii="仿宋_GB2312" w:hAnsi="仿宋_GB2312" w:eastAsia="仿宋_GB2312" w:cs="仿宋_GB2312"/>
          <w:i w:val="0"/>
          <w:iCs w:val="0"/>
          <w:caps w:val="0"/>
          <w:color w:val="000000"/>
          <w:spacing w:val="0"/>
          <w:kern w:val="0"/>
          <w:sz w:val="32"/>
          <w:szCs w:val="32"/>
          <w:u w:val="none"/>
          <w:lang w:val="en-US" w:eastAsia="zh-CN" w:bidi="ar"/>
        </w:rPr>
        <w:t>（5）专业学位研究生案例库建设研究</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）研究生课程体系建设研究与实践</w:t>
      </w:r>
    </w:p>
    <w:p>
      <w:pPr>
        <w:numPr>
          <w:ilvl w:val="0"/>
          <w:numId w:val="0"/>
        </w:numPr>
        <w:ind w:firstLine="64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（7）研究生课程质量评价体系研究与实践</w:t>
      </w:r>
    </w:p>
    <w:p>
      <w:pPr>
        <w:rPr>
          <w:rFonts w:hint="eastAsia" w:ascii="仿宋_GB2312" w:hAnsi="仿宋_GB2312" w:eastAsia="仿宋_GB2312" w:cs="仿宋_GB2312"/>
          <w:i w:val="0"/>
          <w:iCs w:val="0"/>
          <w:caps w:val="0"/>
          <w:color w:val="000000"/>
          <w:spacing w:val="0"/>
          <w:kern w:val="0"/>
          <w:sz w:val="32"/>
          <w:szCs w:val="32"/>
          <w:u w:val="none"/>
          <w:lang w:val="en-US" w:eastAsia="zh-CN" w:bidi="ar"/>
        </w:rPr>
      </w:pPr>
      <w:r>
        <w:rPr>
          <w:rFonts w:hint="eastAsia" w:ascii="仿宋_GB2312" w:hAnsi="仿宋_GB2312" w:eastAsia="仿宋_GB2312" w:cs="仿宋_GB2312"/>
          <w:i w:val="0"/>
          <w:iCs w:val="0"/>
          <w:caps w:val="0"/>
          <w:color w:val="000000"/>
          <w:spacing w:val="0"/>
          <w:kern w:val="0"/>
          <w:sz w:val="32"/>
          <w:szCs w:val="32"/>
          <w:u w:val="none"/>
          <w:lang w:val="en-US" w:eastAsia="zh-CN" w:bidi="ar"/>
        </w:rPr>
        <w:t>（8）研究生课程思政教育教学改革实践与探索/研究生课程思政教学成效的评价体系研究</w:t>
      </w:r>
    </w:p>
    <w:p>
      <w:pPr>
        <w:rPr>
          <w:rFonts w:hint="eastAsia" w:ascii="仿宋_GB2312" w:hAnsi="仿宋_GB2312" w:eastAsia="仿宋_GB2312" w:cs="仿宋_GB2312"/>
          <w:i w:val="0"/>
          <w:iCs w:val="0"/>
          <w:caps w:val="0"/>
          <w:color w:val="000000"/>
          <w:spacing w:val="0"/>
          <w:kern w:val="0"/>
          <w:sz w:val="32"/>
          <w:szCs w:val="32"/>
          <w:u w:val="none"/>
          <w:lang w:val="en-US" w:eastAsia="zh-CN" w:bidi="ar"/>
        </w:rPr>
      </w:pPr>
      <w:r>
        <w:rPr>
          <w:rFonts w:hint="eastAsia" w:ascii="仿宋_GB2312" w:hAnsi="仿宋_GB2312" w:eastAsia="仿宋_GB2312" w:cs="仿宋_GB2312"/>
          <w:i w:val="0"/>
          <w:iCs w:val="0"/>
          <w:caps w:val="0"/>
          <w:color w:val="000000"/>
          <w:spacing w:val="0"/>
          <w:kern w:val="0"/>
          <w:sz w:val="32"/>
          <w:szCs w:val="32"/>
          <w:u w:val="none"/>
          <w:lang w:val="en-US" w:eastAsia="zh-CN" w:bidi="ar"/>
        </w:rPr>
        <w:t>（9）研究生教育质量评价标准与监管机制研究；</w:t>
      </w:r>
    </w:p>
    <w:p>
      <w:pPr>
        <w:rPr>
          <w:rFonts w:hint="eastAsia" w:ascii="仿宋_GB2312" w:hAnsi="仿宋_GB2312" w:eastAsia="仿宋_GB2312" w:cs="仿宋_GB2312"/>
          <w:i w:val="0"/>
          <w:iCs w:val="0"/>
          <w:caps w:val="0"/>
          <w:color w:val="000000"/>
          <w:spacing w:val="0"/>
          <w:kern w:val="0"/>
          <w:sz w:val="32"/>
          <w:szCs w:val="32"/>
          <w:u w:val="none"/>
          <w:lang w:val="en-US" w:eastAsia="zh-CN" w:bidi="ar"/>
        </w:rPr>
      </w:pPr>
      <w:r>
        <w:rPr>
          <w:rFonts w:hint="eastAsia" w:ascii="仿宋_GB2312" w:hAnsi="仿宋_GB2312" w:eastAsia="仿宋_GB2312" w:cs="仿宋_GB2312"/>
          <w:i w:val="0"/>
          <w:iCs w:val="0"/>
          <w:caps w:val="0"/>
          <w:color w:val="000000"/>
          <w:spacing w:val="0"/>
          <w:kern w:val="0"/>
          <w:sz w:val="32"/>
          <w:szCs w:val="32"/>
          <w:u w:val="none"/>
          <w:lang w:val="en-US" w:eastAsia="zh-CN" w:bidi="ar"/>
        </w:rPr>
        <w:t>（10）“互联网+”背景下的研究生教育质量保障机制研究</w:t>
      </w:r>
    </w:p>
    <w:p>
      <w:pPr>
        <w:rPr>
          <w:rFonts w:hint="eastAsia" w:ascii="仿宋_GB2312" w:hAnsi="仿宋_GB2312" w:eastAsia="仿宋_GB2312" w:cs="仿宋_GB2312"/>
          <w:i w:val="0"/>
          <w:iCs w:val="0"/>
          <w:caps w:val="0"/>
          <w:color w:val="000000"/>
          <w:spacing w:val="0"/>
          <w:kern w:val="0"/>
          <w:sz w:val="32"/>
          <w:szCs w:val="32"/>
          <w:u w:val="none"/>
          <w:lang w:val="en-US" w:eastAsia="zh-CN" w:bidi="ar"/>
        </w:rPr>
      </w:pPr>
      <w:r>
        <w:rPr>
          <w:rFonts w:hint="eastAsia" w:ascii="仿宋_GB2312" w:hAnsi="仿宋_GB2312" w:eastAsia="仿宋_GB2312" w:cs="仿宋_GB2312"/>
          <w:i w:val="0"/>
          <w:iCs w:val="0"/>
          <w:caps w:val="0"/>
          <w:color w:val="000000"/>
          <w:spacing w:val="0"/>
          <w:kern w:val="0"/>
          <w:sz w:val="32"/>
          <w:szCs w:val="32"/>
          <w:u w:val="none"/>
          <w:lang w:val="en-US" w:eastAsia="zh-CN" w:bidi="ar"/>
        </w:rPr>
        <w:t>（11）以学科竞赛驱动研究生创新实践能力培养研究；</w:t>
      </w:r>
    </w:p>
    <w:p>
      <w:pPr>
        <w:rPr>
          <w:rFonts w:hint="eastAsia" w:ascii="仿宋_GB2312" w:hAnsi="仿宋_GB2312" w:eastAsia="仿宋_GB2312" w:cs="仿宋_GB2312"/>
          <w:i w:val="0"/>
          <w:iCs w:val="0"/>
          <w:caps w:val="0"/>
          <w:color w:val="000000"/>
          <w:spacing w:val="0"/>
          <w:kern w:val="0"/>
          <w:sz w:val="32"/>
          <w:szCs w:val="32"/>
          <w:u w:val="none"/>
          <w:lang w:val="en-US" w:eastAsia="zh-CN" w:bidi="ar"/>
        </w:rPr>
      </w:pPr>
      <w:r>
        <w:rPr>
          <w:rFonts w:hint="eastAsia" w:ascii="仿宋_GB2312" w:hAnsi="仿宋_GB2312" w:eastAsia="仿宋_GB2312" w:cs="仿宋_GB2312"/>
          <w:i w:val="0"/>
          <w:iCs w:val="0"/>
          <w:caps w:val="0"/>
          <w:color w:val="000000"/>
          <w:spacing w:val="0"/>
          <w:kern w:val="0"/>
          <w:sz w:val="32"/>
          <w:szCs w:val="32"/>
          <w:u w:val="none"/>
          <w:lang w:val="en-US" w:eastAsia="zh-CN" w:bidi="ar"/>
        </w:rPr>
        <w:t>（12）强化研究生科研创新/实践创新能力培养的实践与探索</w:t>
      </w:r>
    </w:p>
    <w:p>
      <w:pPr>
        <w:rPr>
          <w:rFonts w:hint="eastAsia" w:ascii="仿宋_GB2312" w:hAnsi="仿宋_GB2312" w:eastAsia="仿宋_GB2312" w:cs="仿宋_GB2312"/>
          <w:i w:val="0"/>
          <w:iCs w:val="0"/>
          <w:caps w:val="0"/>
          <w:color w:val="000000"/>
          <w:spacing w:val="0"/>
          <w:kern w:val="0"/>
          <w:sz w:val="32"/>
          <w:szCs w:val="32"/>
          <w:u w:val="none"/>
          <w:lang w:val="en-US" w:eastAsia="zh-CN" w:bidi="ar"/>
        </w:rPr>
      </w:pPr>
      <w:r>
        <w:rPr>
          <w:rFonts w:hint="eastAsia" w:ascii="仿宋_GB2312" w:hAnsi="仿宋_GB2312" w:eastAsia="仿宋_GB2312" w:cs="仿宋_GB2312"/>
          <w:i w:val="0"/>
          <w:iCs w:val="0"/>
          <w:caps w:val="0"/>
          <w:color w:val="000000"/>
          <w:spacing w:val="0"/>
          <w:kern w:val="0"/>
          <w:sz w:val="32"/>
          <w:szCs w:val="32"/>
          <w:u w:val="none"/>
          <w:lang w:val="en-US" w:eastAsia="zh-CN" w:bidi="ar"/>
        </w:rPr>
        <w:t>（13）研究生导师职责、评价及保障机制等研究</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B01188BD-6A7D-41F3-9943-A6B0484354A9}"/>
  </w:font>
  <w:font w:name="仿宋">
    <w:panose1 w:val="02010609060101010101"/>
    <w:charset w:val="86"/>
    <w:family w:val="modern"/>
    <w:pitch w:val="default"/>
    <w:sig w:usb0="800002BF" w:usb1="38CF7CFA" w:usb2="00000016" w:usb3="00000000" w:csb0="00040001" w:csb1="00000000"/>
    <w:embedRegular r:id="rId2" w:fontKey="{76CED5A1-53A5-44A1-AB68-9E626130C252}"/>
  </w:font>
  <w:font w:name="仿宋_GB2312">
    <w:altName w:val="仿宋"/>
    <w:panose1 w:val="02010609030101010101"/>
    <w:charset w:val="86"/>
    <w:family w:val="auto"/>
    <w:pitch w:val="default"/>
    <w:sig w:usb0="00000000" w:usb1="00000000" w:usb2="00000000" w:usb3="00000000" w:csb0="00040000" w:csb1="00000000"/>
    <w:embedRegular r:id="rId3" w:fontKey="{A1048F57-31D3-4C55-A663-F7BDB72BBECE}"/>
  </w:font>
  <w:font w:name="方正小标宋简体">
    <w:panose1 w:val="02000000000000000000"/>
    <w:charset w:val="86"/>
    <w:family w:val="auto"/>
    <w:pitch w:val="default"/>
    <w:sig w:usb0="00000001" w:usb1="08000000" w:usb2="00000000" w:usb3="00000000" w:csb0="00040000" w:csb1="00000000"/>
    <w:embedRegular r:id="rId4" w:fontKey="{6717DE8D-9734-4BE6-B7A2-9F40453ED5C7}"/>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FjMTExNWQwMzZmZTk5YzRiN2E4MGM0NzUxZDQyNjMifQ=="/>
  </w:docVars>
  <w:rsids>
    <w:rsidRoot w:val="5F8F232D"/>
    <w:rsid w:val="0DD92F51"/>
    <w:rsid w:val="158D6F6A"/>
    <w:rsid w:val="16654B58"/>
    <w:rsid w:val="344079B5"/>
    <w:rsid w:val="42903DE8"/>
    <w:rsid w:val="56AD2D63"/>
    <w:rsid w:val="5F8F232D"/>
    <w:rsid w:val="63740C82"/>
    <w:rsid w:val="6F1846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ind w:firstLine="200" w:firstLineChars="200"/>
      <w:jc w:val="both"/>
    </w:pPr>
    <w:rPr>
      <w:rFonts w:ascii="Times New Roman" w:hAnsi="Times New Roman" w:eastAsia="仿宋" w:cstheme="minorBidi"/>
      <w:kern w:val="2"/>
      <w:sz w:val="32"/>
      <w:szCs w:val="24"/>
      <w:lang w:val="en-US" w:eastAsia="zh-CN" w:bidi="ar-SA"/>
    </w:rPr>
  </w:style>
  <w:style w:type="paragraph" w:styleId="2">
    <w:name w:val="heading 3"/>
    <w:basedOn w:val="1"/>
    <w:next w:val="1"/>
    <w:autoRedefine/>
    <w:unhideWhenUsed/>
    <w:qFormat/>
    <w:uiPriority w:val="0"/>
    <w:pPr>
      <w:jc w:val="left"/>
      <w:outlineLvl w:val="2"/>
    </w:pPr>
    <w:rPr>
      <w:rFonts w:hint="eastAsia" w:ascii="宋体" w:hAnsi="宋体" w:cs="Times New Roman"/>
      <w:b/>
      <w:bCs/>
      <w:kern w:val="0"/>
      <w:szCs w:val="27"/>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2024-02-02T02:29:00Z</dcterms:created>
  <dc:creator>bobbobstar</dc:creator>
  <cp:lastModifiedBy>bobbobstar</cp:lastModifiedBy>
  <dcterms:modified xsi:type="dcterms:W3CDTF">2024-02-06T02:16:53Z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34841E8E0A6349559DF2655C3A4631D0_11</vt:lpwstr>
  </property>
</Properties>
</file>