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8E" w:rsidRDefault="00541C25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4B4B4B"/>
          <w:sz w:val="36"/>
          <w:szCs w:val="36"/>
        </w:rPr>
      </w:pPr>
      <w:r>
        <w:rPr>
          <w:rFonts w:ascii="黑体" w:eastAsia="黑体" w:hAnsi="黑体" w:hint="eastAsia"/>
          <w:color w:val="4B4B4B"/>
          <w:sz w:val="36"/>
          <w:szCs w:val="36"/>
        </w:rPr>
        <w:t>广东财经大学工商管理硕士专业学位授予标准</w:t>
      </w:r>
    </w:p>
    <w:p w:rsidR="007C3F8E" w:rsidRDefault="00541C25">
      <w:pPr>
        <w:adjustRightInd w:val="0"/>
        <w:snapToGrid w:val="0"/>
        <w:spacing w:line="360" w:lineRule="auto"/>
        <w:jc w:val="center"/>
        <w:rPr>
          <w:rFonts w:ascii="Times New Roman" w:eastAsia="微软雅黑" w:hAnsi="Times New Roman" w:cs="Times New Roman"/>
          <w:color w:val="4B4B4B"/>
          <w:sz w:val="28"/>
          <w:szCs w:val="28"/>
        </w:rPr>
      </w:pPr>
      <w:r>
        <w:rPr>
          <w:rFonts w:ascii="Times New Roman" w:eastAsia="微软雅黑" w:hAnsi="Times New Roman" w:cs="Times New Roman"/>
          <w:color w:val="4B4B4B"/>
          <w:sz w:val="28"/>
          <w:szCs w:val="28"/>
        </w:rPr>
        <w:t>（</w:t>
      </w:r>
      <w:r>
        <w:rPr>
          <w:rFonts w:ascii="Times New Roman" w:eastAsia="微软雅黑" w:hAnsi="Times New Roman" w:cs="Times New Roman" w:hint="eastAsia"/>
          <w:color w:val="4B4B4B"/>
          <w:sz w:val="28"/>
          <w:szCs w:val="28"/>
        </w:rPr>
        <w:t>1202</w:t>
      </w:r>
      <w:r>
        <w:rPr>
          <w:rFonts w:ascii="Times New Roman" w:eastAsia="微软雅黑" w:hAnsi="Times New Roman" w:cs="Times New Roman"/>
          <w:color w:val="4B4B4B"/>
          <w:sz w:val="28"/>
          <w:szCs w:val="28"/>
        </w:rPr>
        <w:t>）</w:t>
      </w:r>
    </w:p>
    <w:p w:rsidR="007C3F8E" w:rsidRDefault="00541C25" w:rsidP="00FA6B10">
      <w:pPr>
        <w:adjustRightInd w:val="0"/>
        <w:snapToGrid w:val="0"/>
        <w:spacing w:line="360" w:lineRule="auto"/>
        <w:ind w:firstLine="555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为明确工商管理专业学位硕士的培养要求，保证培养质量，促进工商管理专业学位硕士教育的发展，依据《中华人民共和国学位条例》、教育部《关于进一步规范工商管理硕士专业学位研究生教育的意见》、教育部《关于做好全日制硕士专业学位研究生培养工作的若干意见》及《工商管理硕士专业学位基本要求》等文件及我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校工商管理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硕士专业学位的</w:t>
      </w:r>
      <w:r w:rsidR="004C21B5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培养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方案，结合学校实际，制定本标准。  </w:t>
      </w:r>
    </w:p>
    <w:p w:rsidR="00FA6B10" w:rsidRDefault="00FA6B10" w:rsidP="00FA6B10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一、培养目标和</w:t>
      </w:r>
      <w:r>
        <w:rPr>
          <w:rFonts w:ascii="Times New Roman" w:eastAsia="黑体" w:hAnsi="Times New Roman" w:cs="Times New Roman"/>
          <w:color w:val="4B4B4B"/>
          <w:sz w:val="28"/>
          <w:szCs w:val="28"/>
        </w:rPr>
        <w:t>主要</w:t>
      </w: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培养</w:t>
      </w:r>
      <w:r>
        <w:rPr>
          <w:rFonts w:ascii="Times New Roman" w:eastAsia="黑体" w:hAnsi="Times New Roman" w:cs="Times New Roman"/>
          <w:color w:val="4B4B4B"/>
          <w:sz w:val="28"/>
          <w:szCs w:val="28"/>
        </w:rPr>
        <w:t>方向</w:t>
      </w:r>
    </w:p>
    <w:p w:rsidR="00FA6B10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3"/>
        <w:jc w:val="left"/>
        <w:rPr>
          <w:rFonts w:ascii="宋体" w:eastAsia="宋体" w:hAnsi="宋体" w:cs="Times New Roman"/>
          <w:color w:val="2E74B5" w:themeColor="accent1" w:themeShade="BF"/>
          <w:szCs w:val="28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>1.培养目标</w:t>
      </w:r>
    </w:p>
    <w:p w:rsidR="00FA6B10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立足广东，辐射华南，秉承“精商通法，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敦行致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远”的办学理念，培养“精管理、通财务、懂法律、善投资”的综合性应用型高层次工商管理人才。 </w:t>
      </w:r>
    </w:p>
    <w:p w:rsidR="00FA6B10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3"/>
        <w:jc w:val="left"/>
        <w:rPr>
          <w:rFonts w:ascii="仿宋_GB2312" w:eastAsia="仿宋_GB2312" w:hAnsi="仿宋" w:cs="仿宋"/>
          <w:b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>2.主要培养方向</w:t>
      </w:r>
    </w:p>
    <w:p w:rsidR="00FA6B10" w:rsidRPr="00D62328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 w:rsidRPr="00D62328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(1)企业战略与服务营销</w:t>
      </w:r>
    </w:p>
    <w:p w:rsidR="00FA6B10" w:rsidRPr="00E71D93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 xml:space="preserve">   </w:t>
      </w:r>
      <w:proofErr w:type="gramStart"/>
      <w:r>
        <w:rPr>
          <w:rFonts w:ascii="仿宋_GB2312" w:eastAsia="仿宋_GB2312" w:hAnsi="仿宋" w:cs="仿宋" w:hint="eastAsia"/>
          <w:kern w:val="0"/>
          <w:sz w:val="28"/>
          <w:szCs w:val="24"/>
        </w:rPr>
        <w:t>本方向</w:t>
      </w:r>
      <w:proofErr w:type="gramEnd"/>
      <w:r>
        <w:rPr>
          <w:rFonts w:ascii="仿宋_GB2312" w:eastAsia="仿宋_GB2312" w:hAnsi="仿宋" w:cs="仿宋" w:hint="eastAsia"/>
          <w:kern w:val="0"/>
          <w:sz w:val="28"/>
          <w:szCs w:val="24"/>
        </w:rPr>
        <w:t>针对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企业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管理者和从业人员需求，</w:t>
      </w:r>
      <w:r w:rsidRPr="002C6664">
        <w:rPr>
          <w:rFonts w:ascii="仿宋_GB2312" w:eastAsia="仿宋_GB2312" w:hAnsi="仿宋" w:cs="仿宋_GB2312" w:hint="eastAsia"/>
          <w:color w:val="000000"/>
          <w:sz w:val="28"/>
          <w:szCs w:val="28"/>
        </w:rPr>
        <w:t>着重培养能够适应市场经济需要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具备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企业管理、生产管理、现代服务业管理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、市场营销等系统知识，具有良好的商业素养和科学素养，较高的管理能力和领导能力，</w:t>
      </w:r>
      <w:r w:rsidRPr="002C6664">
        <w:rPr>
          <w:rFonts w:ascii="仿宋_GB2312" w:eastAsia="仿宋_GB2312" w:hAnsi="仿宋" w:cs="仿宋_GB2312" w:hint="eastAsia"/>
          <w:color w:val="000000"/>
          <w:sz w:val="28"/>
          <w:szCs w:val="28"/>
        </w:rPr>
        <w:t>熟练掌握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现代管理技能</w:t>
      </w:r>
      <w:r w:rsidRPr="002C6664">
        <w:rPr>
          <w:rFonts w:ascii="仿宋_GB2312" w:eastAsia="仿宋_GB2312" w:hAnsi="仿宋" w:cs="仿宋_GB2312" w:hint="eastAsia"/>
          <w:color w:val="000000"/>
          <w:sz w:val="28"/>
          <w:szCs w:val="28"/>
        </w:rPr>
        <w:t>，力求满足企业所需的高层次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管理人才。</w:t>
      </w:r>
    </w:p>
    <w:p w:rsidR="00FA6B10" w:rsidRPr="00D62328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ind w:firstLine="570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 w:rsidRPr="00D62328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(2)组织与人力资源管理</w:t>
      </w:r>
    </w:p>
    <w:p w:rsidR="00FA6B10" w:rsidRPr="002C6664" w:rsidRDefault="00FA6B10" w:rsidP="00FA6B10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proofErr w:type="gramStart"/>
      <w:r>
        <w:rPr>
          <w:rFonts w:ascii="仿宋_GB2312" w:eastAsia="仿宋_GB2312" w:hAnsi="仿宋" w:cs="仿宋" w:hint="eastAsia"/>
          <w:kern w:val="0"/>
          <w:sz w:val="28"/>
          <w:szCs w:val="24"/>
        </w:rPr>
        <w:t>本方向</w:t>
      </w:r>
      <w:proofErr w:type="gramEnd"/>
      <w:r>
        <w:rPr>
          <w:rFonts w:ascii="仿宋_GB2312" w:eastAsia="仿宋_GB2312" w:hAnsi="仿宋" w:cs="仿宋" w:hint="eastAsia"/>
          <w:kern w:val="0"/>
          <w:sz w:val="28"/>
          <w:szCs w:val="24"/>
        </w:rPr>
        <w:t>针对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企业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和所涉组织管理者和从业人员需求，要求学位获得者具有扎实组织与人力资源管理理论基础，具备较系统的人力资源管理知识，培养具备较高的组织能力、领导能力和管理能力，</w:t>
      </w:r>
      <w:r w:rsidRPr="002C6664">
        <w:rPr>
          <w:rFonts w:ascii="仿宋_GB2312" w:eastAsia="仿宋_GB2312" w:hAnsi="仿宋" w:cs="仿宋_GB2312" w:hint="eastAsia"/>
          <w:sz w:val="28"/>
          <w:szCs w:val="28"/>
        </w:rPr>
        <w:t>能够胜任从事</w:t>
      </w:r>
      <w:r>
        <w:rPr>
          <w:rFonts w:ascii="仿宋_GB2312" w:eastAsia="仿宋_GB2312" w:hAnsi="仿宋" w:cs="仿宋_GB2312" w:hint="eastAsia"/>
          <w:sz w:val="28"/>
          <w:szCs w:val="28"/>
        </w:rPr>
        <w:t>人力资源管理</w:t>
      </w:r>
      <w:r w:rsidRPr="002C6664">
        <w:rPr>
          <w:rFonts w:ascii="仿宋_GB2312" w:eastAsia="仿宋_GB2312" w:hAnsi="仿宋" w:cs="仿宋_GB2312" w:hint="eastAsia"/>
          <w:sz w:val="28"/>
          <w:szCs w:val="28"/>
        </w:rPr>
        <w:t>的高级应用型人才。</w:t>
      </w:r>
    </w:p>
    <w:p w:rsidR="00FA6B10" w:rsidRPr="00D62328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lastRenderedPageBreak/>
        <w:t xml:space="preserve">    </w:t>
      </w:r>
      <w:r w:rsidRPr="00D62328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(3)财务管理与税收筹划</w:t>
      </w:r>
    </w:p>
    <w:p w:rsidR="00FA6B10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仿宋" w:cs="仿宋"/>
          <w:b/>
          <w:color w:val="000000"/>
          <w:kern w:val="0"/>
          <w:sz w:val="28"/>
          <w:szCs w:val="24"/>
        </w:rPr>
      </w:pPr>
      <w:proofErr w:type="gramStart"/>
      <w:r>
        <w:rPr>
          <w:rFonts w:ascii="仿宋_GB2312" w:eastAsia="仿宋_GB2312" w:hAnsi="仿宋" w:cs="仿宋" w:hint="eastAsia"/>
          <w:kern w:val="0"/>
          <w:sz w:val="28"/>
          <w:szCs w:val="24"/>
        </w:rPr>
        <w:t>本方向</w:t>
      </w:r>
      <w:proofErr w:type="gramEnd"/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主要面向企业、会计事务所、税务事务所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以及财政、税务和审计等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机关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管理人员和专业技术人才需求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，</w:t>
      </w:r>
      <w:r w:rsidRPr="002C6664">
        <w:rPr>
          <w:rFonts w:ascii="仿宋_GB2312" w:eastAsia="仿宋_GB2312" w:hAnsi="仿宋" w:cs="仿宋_GB2312" w:hint="eastAsia"/>
          <w:color w:val="000000"/>
          <w:sz w:val="28"/>
          <w:szCs w:val="28"/>
        </w:rPr>
        <w:t>着重培养熟知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财务管理、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审计管理、资本运作、公司理财、</w:t>
      </w:r>
      <w:r w:rsidRPr="002C6664">
        <w:rPr>
          <w:rFonts w:ascii="仿宋_GB2312" w:eastAsia="仿宋_GB2312" w:hAnsi="仿宋" w:cs="仿宋_GB2312" w:hint="eastAsia"/>
          <w:color w:val="000000"/>
          <w:sz w:val="28"/>
          <w:szCs w:val="28"/>
        </w:rPr>
        <w:t>税收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筹划等系统知识，</w:t>
      </w:r>
      <w:r w:rsidRPr="002C6664">
        <w:rPr>
          <w:rFonts w:ascii="仿宋_GB2312" w:eastAsia="仿宋_GB2312" w:hAnsi="仿宋" w:cs="仿宋_GB2312" w:hint="eastAsia"/>
          <w:color w:val="000000"/>
          <w:sz w:val="28"/>
          <w:szCs w:val="28"/>
        </w:rPr>
        <w:t>既掌握财务会计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、企业理财；</w:t>
      </w:r>
      <w:r w:rsidRPr="002C6664">
        <w:rPr>
          <w:rFonts w:ascii="仿宋_GB2312" w:eastAsia="仿宋_GB2312" w:hAnsi="仿宋" w:cs="仿宋_GB2312" w:hint="eastAsia"/>
          <w:sz w:val="28"/>
          <w:szCs w:val="28"/>
        </w:rPr>
        <w:t>培养具备处理高级</w:t>
      </w:r>
      <w:r>
        <w:rPr>
          <w:rFonts w:ascii="仿宋_GB2312" w:eastAsia="仿宋_GB2312" w:hAnsi="仿宋" w:cs="仿宋_GB2312" w:hint="eastAsia"/>
          <w:sz w:val="28"/>
          <w:szCs w:val="28"/>
        </w:rPr>
        <w:t>财务</w:t>
      </w:r>
      <w:r w:rsidRPr="002C6664">
        <w:rPr>
          <w:rFonts w:ascii="仿宋_GB2312" w:eastAsia="仿宋_GB2312" w:hAnsi="仿宋" w:cs="仿宋_GB2312" w:hint="eastAsia"/>
          <w:sz w:val="28"/>
          <w:szCs w:val="28"/>
        </w:rPr>
        <w:t>会计、税务筹划</w:t>
      </w:r>
      <w:r>
        <w:rPr>
          <w:rFonts w:ascii="仿宋_GB2312" w:eastAsia="仿宋_GB2312" w:hAnsi="仿宋" w:cs="仿宋_GB2312" w:hint="eastAsia"/>
          <w:sz w:val="28"/>
          <w:szCs w:val="28"/>
        </w:rPr>
        <w:t>的</w:t>
      </w:r>
      <w:r w:rsidRPr="002C6664">
        <w:rPr>
          <w:rFonts w:ascii="仿宋_GB2312" w:eastAsia="仿宋_GB2312" w:hAnsi="仿宋" w:cs="仿宋_GB2312" w:hint="eastAsia"/>
          <w:sz w:val="28"/>
          <w:szCs w:val="28"/>
        </w:rPr>
        <w:t>高级应用型人才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  <w:r>
        <w:rPr>
          <w:rFonts w:ascii="仿宋_GB2312" w:eastAsia="仿宋_GB2312" w:hAnsi="仿宋" w:cs="仿宋" w:hint="eastAsia"/>
          <w:b/>
          <w:color w:val="000000"/>
          <w:kern w:val="0"/>
          <w:sz w:val="28"/>
          <w:szCs w:val="24"/>
        </w:rPr>
        <w:t xml:space="preserve"> </w:t>
      </w:r>
    </w:p>
    <w:p w:rsidR="00FA6B10" w:rsidRPr="00D62328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ind w:firstLine="540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 w:rsidRPr="00D62328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(4)金融理财与保险管理</w:t>
      </w:r>
    </w:p>
    <w:p w:rsidR="00FA6B10" w:rsidRPr="00E71D93" w:rsidRDefault="00FA6B10" w:rsidP="00FA6B10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 xml:space="preserve"> </w:t>
      </w:r>
      <w:proofErr w:type="gramStart"/>
      <w:r>
        <w:rPr>
          <w:rFonts w:ascii="仿宋_GB2312" w:eastAsia="仿宋_GB2312" w:hAnsi="仿宋" w:cs="仿宋" w:hint="eastAsia"/>
          <w:kern w:val="0"/>
          <w:sz w:val="28"/>
          <w:szCs w:val="24"/>
        </w:rPr>
        <w:t>本方向</w:t>
      </w:r>
      <w:proofErr w:type="gramEnd"/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主要面向银行、保险公司和保险协会等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管理人员和专业技术人才需求，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培养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具有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银行经营管理、证券与融资管理、投资管理、保险与风险管理</w:t>
      </w:r>
      <w:r>
        <w:rPr>
          <w:rFonts w:ascii="仿宋_GB2312" w:eastAsia="仿宋_GB2312" w:hAnsi="仿宋" w:cs="仿宋" w:hint="eastAsia"/>
          <w:kern w:val="0"/>
          <w:sz w:val="28"/>
          <w:szCs w:val="24"/>
        </w:rPr>
        <w:t>等系统知识，具备处理金融理财、风险管理、资本运作的</w:t>
      </w:r>
      <w:r w:rsidRPr="002C6664">
        <w:rPr>
          <w:rFonts w:ascii="仿宋_GB2312" w:eastAsia="仿宋_GB2312" w:hAnsi="仿宋" w:cs="仿宋_GB2312" w:hint="eastAsia"/>
          <w:sz w:val="28"/>
          <w:szCs w:val="28"/>
        </w:rPr>
        <w:t>高级应用型人才</w:t>
      </w:r>
      <w:r w:rsidRPr="00E71D93">
        <w:rPr>
          <w:rFonts w:ascii="仿宋_GB2312" w:eastAsia="仿宋_GB2312" w:hAnsi="仿宋" w:cs="仿宋" w:hint="eastAsia"/>
          <w:kern w:val="0"/>
          <w:sz w:val="28"/>
          <w:szCs w:val="24"/>
        </w:rPr>
        <w:t>。</w:t>
      </w:r>
    </w:p>
    <w:p w:rsidR="007C3F8E" w:rsidRDefault="00FA6B10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二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、获本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专业学位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应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具备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的基本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素质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 获得工商管</w:t>
      </w: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理硕士学位者应具有较好的基本素养、良好的学术道德和商业道德、较高的专业素养；具有企业公民意识、社会责任意识和可持续发展意识；具有人文精神、科学精神和创业精神。  </w:t>
      </w:r>
    </w:p>
    <w:p w:rsidR="007C3F8E" w:rsidRDefault="00FA6B10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三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、获本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专业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学位应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掌握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的基本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知识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1.基础知识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获得我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校工商管理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硕士学位者应掌握现代经济学和管理学的基础理论知识，如经济学、管理学和组织行为学；掌握企业管理所需要的基本分析方法与工具，如统计分析和决策分析，需完成我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校工商管理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硕士专业学位的10门核心课程不少于20个学分的学习，具有完整的工商管理领域基础知识结构，掌握了工商管理的基本理论、方法以及技术，能够交叉运用经济学、管理学、金融学、法学、现代科技等方面知识和科学研究方法发现、分析、解决工商管理领域问题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2.专业知识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lastRenderedPageBreak/>
        <w:t>获得我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校工商管理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硕士学位者应掌握与企业职能管理相联系的专业知识，如会计、财务、营销、运营、人力资源管理、信息管理等，还应掌握与企业综合管理相联系的专业知识，如领导、决策、创业、公司治理、战略、商业伦理与企业社会责任等。在完成核心课程的基础上，可根据自身工作需要、特长和兴趣选择相应的专业方向，需完成4门专业方向必修课不少于8学分的学习，还需完成该专业方向的系列选修课程不少于4个学分的学习，能熟练掌握工商管理专业技能及研究方法，并学习完成一些完善知识结构、拓宽视野、提升素质和陶冶情操的选修课。     </w:t>
      </w:r>
    </w:p>
    <w:p w:rsidR="007C3F8E" w:rsidRDefault="00FA6B10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四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、获本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专业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学位应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接受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的</w:t>
      </w:r>
      <w:r w:rsidR="00541C25"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实践训练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实践训练环节是必修环节，包括论坛与讲座、企业调研、创新创业实践、企业法务实训等，共8个学分。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1.粤商高端论坛与讲座。工商管理硕士必须参加不少于8次MBA教育中心认可的论坛或讲座，并结合自身体验写出相应的专题报告两份（每份报告不少于1000字）提交MBA教育中心，成绩合格者取得学分。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2.企业调研实践。积极利用课余或寒暑假时间完成企业调研实习（必须以实地调研为主</w:t>
      </w:r>
      <w:r w:rsidR="00B30363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）。全日制脱产班MBA研究生第一学年暑假完成企业调研并提交调研报告，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全日制</w:t>
      </w:r>
      <w:r w:rsidR="00B30363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在职班MBA研究生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于第二学年完成并提交调研报告。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3.创新创业实践。需完成1份创业方案并参加创业大赛，有相应的创业方案及大赛考核成绩。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4.企业法务实训。能就企业发生的1个实际法律事务案件撰写专题报告，进行法律分析，提出解决问题的法律方案。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lastRenderedPageBreak/>
        <w:t>5.企业运作仿真。能对处于复杂市场环境下的企业经营进行大规模的仿真运作，具有从事经济管理的战略思维、综合决策能力和综合执行能力。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6.完成走进粤商企业、第二课堂等实践环节培养。能积极参与企业咨询项目、MBA研究生竞赛、MBA研究生联合会组织的各项活动及学校组织的其他活动，具有较高的实战能力。</w:t>
      </w:r>
    </w:p>
    <w:p w:rsidR="007C3F8E" w:rsidRDefault="00541C25" w:rsidP="00FA6B10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 w:rsidRPr="00FA6B10">
        <w:rPr>
          <w:rFonts w:ascii="黑体" w:eastAsia="黑体" w:hAnsi="黑体" w:cs="黑体" w:hint="eastAsia"/>
          <w:bCs/>
          <w:color w:val="000000"/>
          <w:kern w:val="0"/>
          <w:sz w:val="28"/>
          <w:szCs w:val="24"/>
        </w:rPr>
        <w:t xml:space="preserve"> </w:t>
      </w:r>
      <w:r w:rsidR="00FA6B10" w:rsidRPr="00FA6B10">
        <w:rPr>
          <w:rFonts w:ascii="黑体" w:eastAsia="黑体" w:hAnsi="黑体" w:cs="黑体" w:hint="eastAsia"/>
          <w:bCs/>
          <w:color w:val="000000"/>
          <w:kern w:val="0"/>
          <w:sz w:val="28"/>
          <w:szCs w:val="24"/>
        </w:rPr>
        <w:t>五</w:t>
      </w:r>
      <w:r w:rsidRPr="00FA6B10">
        <w:rPr>
          <w:rFonts w:ascii="黑体" w:eastAsia="黑体" w:hAnsi="黑体" w:cs="黑体" w:hint="eastAsia"/>
          <w:bCs/>
          <w:color w:val="4B4B4B"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获本专业学位应具备的基本能力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专业学位硕士通过学习和训练应达到以下要求：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 1.熟悉本专业（或职业）领域中相关的文献资料，获得所从事行业领域开展工作所需的背景知识。  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 2.具备在实践工作中发现和分析问题的能力，能综合运用所学知识，对所需解决的复杂问题能提出切实可行的科学解决方案。  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 3.具有在全球视野下把握全局的战略思维和分析能力；了解本专业（或职业）领域的发展前沿，善于发现与学习并掌握新的理论、方法，能应用先进思想和经验，具有开拓创新的思维与能力，解决本专业（或职业）领域的实际问题。  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 4.具有较强的沟通、交流与组织协调能力。语言文字表达条理清晰，用语流畅，重点突出；尊重他人，具有团队合作精神，能有效运用各种沟通方式。 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5.能树立终身学习观念，有良好的学习习惯；能通过研读资料和实践等渠道，从理论和实践两方面积累知识与经验。 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="560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6.具有积极探索的创新精神，具备新观点、新思维，能为提高企业创新力和国际竞争力提供支撑。</w:t>
      </w:r>
      <w:r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7C3F8E" w:rsidRDefault="00FA6B10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 w:cs="Times New Roman"/>
          <w:color w:val="4B4B4B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4B4B4B"/>
          <w:sz w:val="28"/>
          <w:szCs w:val="28"/>
        </w:rPr>
        <w:t>六</w:t>
      </w:r>
      <w:r w:rsidR="00541C25">
        <w:rPr>
          <w:rFonts w:ascii="Times New Roman" w:eastAsia="黑体" w:hAnsi="Times New Roman" w:cs="Times New Roman"/>
          <w:color w:val="4B4B4B"/>
          <w:sz w:val="28"/>
          <w:szCs w:val="28"/>
        </w:rPr>
        <w:t>、学位论文基本要求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lastRenderedPageBreak/>
        <w:t>学位论文写作是工商管理硕士教育中不可缺少的重要环节，是工商管理硕士生知识结构、技术方法与综合能力的集中体现，也是其教学培养、理论研究、综合素质等各方面的表达途径和导出方式。同时，撰写工商管理硕士学位论文作为学生学习的最后一个环节,也是体现学生理论联系实践能力的重要方式。学位论文应在导师指导下，完成选题、开题、写作、答辩等环节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 （一）开题与选题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工商管理硕士通过全部学位类课程平均成绩不低于75分（含75分），中期考核合格者准予开题，学位论文选题应来源于管理实践，强调应用性和实践性,要求从企业管理的实际需要中发现问题，在论文导师指导下独立完成；论文形式从专题研究、调查研究报告、企业诊断报告、案例研究等类型任选一种形式，提倡问题导向型研究和案例研究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（二）写作和答辩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学位论文应在导师指导下，按照《广东财经大学研究生学位论文撰写要求》的格式规范写作。论文工作时间一般不少于</w:t>
      </w:r>
      <w:r w:rsidR="00B30363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10个月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，正文字数应在 3万字以上。学位论文答辩过程中需要有工商管理理论和实践领域专家参与。答辩委员会三分之二以上委员同意视为通过，否则延迟答辩。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（三）学位论文形式和规范要求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1.以</w:t>
      </w:r>
      <w:r w:rsidR="000D6ACF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专题研究等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形式学位论文时，论文撰写必须在较扎实的专业理论基础之上进行，应广泛并针对性地吸收国内外关于选题的研究成果。参考文献不少于45篇，其中外文文献不少于</w:t>
      </w:r>
      <w:r w:rsidR="000D6ACF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8</w:t>
      </w:r>
      <w:r w:rsidR="00A73987"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篇。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论文撰写应符合《广东财经大学研究生学位论文撰写规范》，论文字数一般为3万字以上。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lastRenderedPageBreak/>
        <w:t>2.以调研报告等形式撰写学位论文时，应做到体例结构规范，方法科学、合理，观点明确，阐述准确、清晰，并有一定的创造性，论文格式应参照《广东财经大学研究生学位论文撰写规范》。论文字数不少于3万字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（四）学位论文水平要求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1.选题与综述。选题为工商管理领域的现实问题，提倡结合作者本人的管理实践，综合、全面地反映有关问题及相关领域的研究状况。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 xml:space="preserve">    2.具有较好的理论基础、专业知识及分析能力。论文能够体现出作者在工商管理学科及相关领域较扎实的理论基础；能运用规范的管理学研究方法，通过调研，进行科学分析和论证。材料翔实，结构严谨，推理严密，逻辑性强；层次分明，图表规范，善于总结提炼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3.论文有一定的创新性、科学性和有效性。能综合运用工商管理理论与方法研究新现象、新问题，提出新命题、新观点；论文成果具有较大的实用价值，为企业管理提供决策参考与政策建议。</w:t>
      </w:r>
    </w:p>
    <w:p w:rsidR="007C3F8E" w:rsidRDefault="00541C25">
      <w:pPr>
        <w:widowControl/>
        <w:tabs>
          <w:tab w:val="left" w:pos="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 w:cs="仿宋"/>
          <w:color w:val="000000"/>
          <w:kern w:val="0"/>
          <w:sz w:val="28"/>
          <w:szCs w:val="24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4"/>
        </w:rPr>
        <w:t>4.学位论文系统检测复制比低于18 %（含18%），视为通过检测。论文复制比只计算论文正文内容，独创性声明、注释、参考文献、附录、致谢等内容如有重复，不计入复制比例。对引用本人已发表论文的原创性内容，不计入复制比例。</w:t>
      </w:r>
    </w:p>
    <w:p w:rsidR="007C3F8E" w:rsidRDefault="007C3F8E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Times New Roman" w:eastAsia="宋体" w:hAnsi="Times New Roman" w:cs="Times New Roman"/>
          <w:b/>
          <w:color w:val="4B4B4B"/>
          <w:sz w:val="28"/>
          <w:szCs w:val="28"/>
        </w:rPr>
      </w:pPr>
    </w:p>
    <w:sectPr w:rsidR="007C3F8E" w:rsidSect="007C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32" w:rsidRDefault="008F5832" w:rsidP="00B30363">
      <w:r>
        <w:separator/>
      </w:r>
    </w:p>
  </w:endnote>
  <w:endnote w:type="continuationSeparator" w:id="1">
    <w:p w:rsidR="008F5832" w:rsidRDefault="008F5832" w:rsidP="00B3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32" w:rsidRDefault="008F5832" w:rsidP="00B30363">
      <w:r>
        <w:separator/>
      </w:r>
    </w:p>
  </w:footnote>
  <w:footnote w:type="continuationSeparator" w:id="1">
    <w:p w:rsidR="008F5832" w:rsidRDefault="008F5832" w:rsidP="00B30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49F"/>
    <w:rsid w:val="00040A6B"/>
    <w:rsid w:val="00067769"/>
    <w:rsid w:val="00072D7E"/>
    <w:rsid w:val="000B2598"/>
    <w:rsid w:val="000D6ACF"/>
    <w:rsid w:val="0016137B"/>
    <w:rsid w:val="00184AF7"/>
    <w:rsid w:val="001D66C2"/>
    <w:rsid w:val="002402E3"/>
    <w:rsid w:val="002759E5"/>
    <w:rsid w:val="002C087A"/>
    <w:rsid w:val="0032433E"/>
    <w:rsid w:val="0039682B"/>
    <w:rsid w:val="003A526E"/>
    <w:rsid w:val="003D2800"/>
    <w:rsid w:val="00427A1E"/>
    <w:rsid w:val="004715A9"/>
    <w:rsid w:val="00472D16"/>
    <w:rsid w:val="00474E51"/>
    <w:rsid w:val="004C21B5"/>
    <w:rsid w:val="004C4A06"/>
    <w:rsid w:val="00535D4A"/>
    <w:rsid w:val="00541C25"/>
    <w:rsid w:val="00575DF5"/>
    <w:rsid w:val="0059023A"/>
    <w:rsid w:val="00591868"/>
    <w:rsid w:val="006264F7"/>
    <w:rsid w:val="006361DF"/>
    <w:rsid w:val="0064009F"/>
    <w:rsid w:val="006A7D2E"/>
    <w:rsid w:val="006C153F"/>
    <w:rsid w:val="006D349F"/>
    <w:rsid w:val="006E3759"/>
    <w:rsid w:val="00713D17"/>
    <w:rsid w:val="007548DA"/>
    <w:rsid w:val="00757CDC"/>
    <w:rsid w:val="007608F5"/>
    <w:rsid w:val="00762C10"/>
    <w:rsid w:val="00767691"/>
    <w:rsid w:val="00771FE3"/>
    <w:rsid w:val="00794D8D"/>
    <w:rsid w:val="007C3F8E"/>
    <w:rsid w:val="007F622C"/>
    <w:rsid w:val="00807761"/>
    <w:rsid w:val="008638AB"/>
    <w:rsid w:val="00864215"/>
    <w:rsid w:val="00864BA0"/>
    <w:rsid w:val="008754DC"/>
    <w:rsid w:val="008823A8"/>
    <w:rsid w:val="008F5832"/>
    <w:rsid w:val="00947534"/>
    <w:rsid w:val="009C12C3"/>
    <w:rsid w:val="009F6F3D"/>
    <w:rsid w:val="00A14561"/>
    <w:rsid w:val="00A52D1D"/>
    <w:rsid w:val="00A73987"/>
    <w:rsid w:val="00AC478B"/>
    <w:rsid w:val="00AC5D00"/>
    <w:rsid w:val="00B30363"/>
    <w:rsid w:val="00B63725"/>
    <w:rsid w:val="00B65E6D"/>
    <w:rsid w:val="00B715C9"/>
    <w:rsid w:val="00BA4545"/>
    <w:rsid w:val="00BE629E"/>
    <w:rsid w:val="00C1643A"/>
    <w:rsid w:val="00C332B5"/>
    <w:rsid w:val="00C7510C"/>
    <w:rsid w:val="00CE6276"/>
    <w:rsid w:val="00D022F4"/>
    <w:rsid w:val="00D21C96"/>
    <w:rsid w:val="00D565EE"/>
    <w:rsid w:val="00D62328"/>
    <w:rsid w:val="00D662FD"/>
    <w:rsid w:val="00D85EAF"/>
    <w:rsid w:val="00D92137"/>
    <w:rsid w:val="00DF3C23"/>
    <w:rsid w:val="00E104BE"/>
    <w:rsid w:val="00E112CB"/>
    <w:rsid w:val="00E650DA"/>
    <w:rsid w:val="00E71D93"/>
    <w:rsid w:val="00E7271A"/>
    <w:rsid w:val="00E944BA"/>
    <w:rsid w:val="00E9691A"/>
    <w:rsid w:val="00EA47D7"/>
    <w:rsid w:val="00EB47BB"/>
    <w:rsid w:val="00F42992"/>
    <w:rsid w:val="00F60662"/>
    <w:rsid w:val="00FA6B10"/>
    <w:rsid w:val="0B045F6F"/>
    <w:rsid w:val="0B4B7802"/>
    <w:rsid w:val="0C5C2675"/>
    <w:rsid w:val="0CF22776"/>
    <w:rsid w:val="0DAA2549"/>
    <w:rsid w:val="0E487E52"/>
    <w:rsid w:val="0EED242E"/>
    <w:rsid w:val="129F0DA0"/>
    <w:rsid w:val="16F776AE"/>
    <w:rsid w:val="180108AF"/>
    <w:rsid w:val="1C3403B0"/>
    <w:rsid w:val="1D4352E2"/>
    <w:rsid w:val="1DF620D0"/>
    <w:rsid w:val="201F5E1E"/>
    <w:rsid w:val="21396100"/>
    <w:rsid w:val="27712EAD"/>
    <w:rsid w:val="2779243A"/>
    <w:rsid w:val="29880175"/>
    <w:rsid w:val="2A525DE4"/>
    <w:rsid w:val="2D4E65CD"/>
    <w:rsid w:val="2F8B0559"/>
    <w:rsid w:val="30B85904"/>
    <w:rsid w:val="351D46FB"/>
    <w:rsid w:val="397601F0"/>
    <w:rsid w:val="3E2C7F57"/>
    <w:rsid w:val="3F1438DD"/>
    <w:rsid w:val="42795487"/>
    <w:rsid w:val="42926C55"/>
    <w:rsid w:val="433036AB"/>
    <w:rsid w:val="4668224E"/>
    <w:rsid w:val="469027BC"/>
    <w:rsid w:val="469E480D"/>
    <w:rsid w:val="51C54E5C"/>
    <w:rsid w:val="53531085"/>
    <w:rsid w:val="5452443E"/>
    <w:rsid w:val="56EF4FB4"/>
    <w:rsid w:val="5B5F3CC4"/>
    <w:rsid w:val="5BC83769"/>
    <w:rsid w:val="5C0679E6"/>
    <w:rsid w:val="5EF16B40"/>
    <w:rsid w:val="5F3A5536"/>
    <w:rsid w:val="603A1DAB"/>
    <w:rsid w:val="638D3710"/>
    <w:rsid w:val="6ABC1764"/>
    <w:rsid w:val="6D935E09"/>
    <w:rsid w:val="73F762D8"/>
    <w:rsid w:val="74930149"/>
    <w:rsid w:val="752A7473"/>
    <w:rsid w:val="787E1C32"/>
    <w:rsid w:val="792B7BAD"/>
    <w:rsid w:val="79C24994"/>
    <w:rsid w:val="7A100F37"/>
    <w:rsid w:val="7A1E2D37"/>
    <w:rsid w:val="7F82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3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C3F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C3F8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7C3F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3F8E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7C3F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517</Words>
  <Characters>2951</Characters>
  <Application>Microsoft Office Word</Application>
  <DocSecurity>0</DocSecurity>
  <Lines>24</Lines>
  <Paragraphs>6</Paragraphs>
  <ScaleCrop>false</ScaleCrop>
  <Company>Lenovo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王景刚</dc:creator>
  <cp:lastModifiedBy>彭文霞</cp:lastModifiedBy>
  <cp:revision>2</cp:revision>
  <cp:lastPrinted>2016-07-01T00:11:00Z</cp:lastPrinted>
  <dcterms:created xsi:type="dcterms:W3CDTF">2016-07-04T04:37:00Z</dcterms:created>
  <dcterms:modified xsi:type="dcterms:W3CDTF">2016-07-04T04:37:00Z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