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广东财经大学研究生培养方案修订细则及参考模板</w:t>
      </w:r>
    </w:p>
    <w:p>
      <w:pPr>
        <w:numPr>
          <w:ilvl w:val="0"/>
          <w:numId w:val="0"/>
        </w:numPr>
        <w:spacing w:line="560" w:lineRule="exact"/>
        <w:ind w:firstLine="640" w:firstLineChars="200"/>
        <w:rPr>
          <w:rFonts w:hint="eastAsia" w:ascii="仿宋_GB2312" w:hAnsi="Times New Roman" w:eastAsia="仿宋_GB2312"/>
          <w:color w:val="auto"/>
          <w:sz w:val="32"/>
          <w:szCs w:val="32"/>
          <w:lang w:val="en-US" w:eastAsia="zh-CN"/>
        </w:rPr>
      </w:pPr>
    </w:p>
    <w:p>
      <w:pPr>
        <w:numPr>
          <w:ilvl w:val="0"/>
          <w:numId w:val="0"/>
        </w:num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auto"/>
          <w:sz w:val="32"/>
          <w:szCs w:val="32"/>
          <w:lang w:val="en-US" w:eastAsia="zh-CN"/>
        </w:rPr>
        <w:t>培养方案各部分内容由各培养单位根据上级要求和本学科专业特点自主确定，应对各部分内容的具体要求详细撰写，部分内容参考示例仅供参考。</w:t>
      </w:r>
    </w:p>
    <w:p>
      <w:pPr>
        <w:numPr>
          <w:ilvl w:val="-1"/>
          <w:numId w:val="0"/>
        </w:numPr>
        <w:spacing w:line="56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一、培养目标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培养目标既要符合国家战略和区域经济发展需求，对照《研究生教育学科专业简介及其学位基本要求》（2024年版）中各学科专业的“培养目标”编写，又要突出我校各学科专业研究生培养的优势和办学特色，并定位于培养高层次创新型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i/>
          <w:iCs/>
          <w:sz w:val="32"/>
          <w:szCs w:val="32"/>
          <w:lang w:val="en-US" w:eastAsia="zh-CN"/>
        </w:rPr>
      </w:pPr>
      <w:r>
        <w:rPr>
          <w:rFonts w:hint="eastAsia" w:ascii="仿宋_GB2312" w:hAnsi="Times New Roman" w:eastAsia="仿宋_GB2312"/>
          <w:i/>
          <w:iCs/>
          <w:sz w:val="32"/>
          <w:szCs w:val="32"/>
          <w:lang w:val="en-US" w:eastAsia="zh-CN"/>
        </w:rPr>
        <w:t>参考示例：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sz w:val="32"/>
          <w:szCs w:val="32"/>
          <w:lang w:val="en-US" w:eastAsia="zh-CN"/>
        </w:rPr>
        <w:t>以培养具有……（基本知识），系统掌握……（专业技术）为目标，面向……（专业各岗位/部门），培养……（能力）较强，具有……（政治素质、品质），能服务于……（行业领域）的……（能力/技能等）、……（专业）领域学术创新型/实践创新型人才。</w:t>
      </w:r>
    </w:p>
    <w:p>
      <w:pPr>
        <w:numPr>
          <w:ilvl w:val="-1"/>
          <w:numId w:val="0"/>
        </w:numPr>
        <w:spacing w:line="56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二、基本要求</w:t>
      </w:r>
    </w:p>
    <w:p>
      <w:pPr>
        <w:numPr>
          <w:ilvl w:val="-1"/>
          <w:numId w:val="0"/>
        </w:numPr>
        <w:spacing w:line="560" w:lineRule="exact"/>
        <w:ind w:left="0" w:leftChars="0" w:firstLine="640" w:firstLineChars="200"/>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根据《研究生教育学科专业简介及其学位基本要求》（2024年版）中“各学科专业获相应学位应具备的“基本知识”“基本素质”“基本能力”等要求，</w:t>
      </w:r>
      <w:r>
        <w:rPr>
          <w:rFonts w:hint="default" w:ascii="仿宋_GB2312" w:hAnsi="Times New Roman" w:eastAsia="仿宋_GB2312" w:cs="Times New Roman"/>
          <w:b w:val="0"/>
          <w:bCs w:val="0"/>
          <w:sz w:val="32"/>
          <w:szCs w:val="32"/>
          <w:lang w:val="en-US" w:eastAsia="zh-CN"/>
        </w:rPr>
        <w:t>结合</w:t>
      </w:r>
      <w:r>
        <w:rPr>
          <w:rFonts w:hint="eastAsia" w:ascii="仿宋_GB2312" w:hAnsi="Times New Roman" w:eastAsia="仿宋_GB2312" w:cs="Times New Roman"/>
          <w:b w:val="0"/>
          <w:bCs w:val="0"/>
          <w:sz w:val="32"/>
          <w:szCs w:val="32"/>
          <w:lang w:val="en-US" w:eastAsia="zh-CN"/>
        </w:rPr>
        <w:t>学校</w:t>
      </w:r>
      <w:r>
        <w:rPr>
          <w:rFonts w:hint="default" w:ascii="仿宋_GB2312" w:hAnsi="Times New Roman" w:eastAsia="仿宋_GB2312" w:cs="Times New Roman"/>
          <w:b w:val="0"/>
          <w:bCs w:val="0"/>
          <w:sz w:val="32"/>
          <w:szCs w:val="32"/>
          <w:lang w:val="en-US" w:eastAsia="zh-CN"/>
        </w:rPr>
        <w:t>学科专业特色编写。</w:t>
      </w:r>
    </w:p>
    <w:p>
      <w:pPr>
        <w:numPr>
          <w:ilvl w:val="-1"/>
          <w:numId w:val="0"/>
        </w:numPr>
        <w:spacing w:line="560" w:lineRule="exact"/>
        <w:ind w:left="0" w:leftChars="0" w:firstLine="640" w:firstLineChars="200"/>
        <w:rPr>
          <w:rFonts w:hint="default" w:ascii="仿宋_GB2312" w:hAnsi="Times New Roman" w:eastAsia="仿宋_GB2312" w:cs="Times New Roman"/>
          <w:b w:val="0"/>
          <w:bCs w:val="0"/>
          <w:sz w:val="32"/>
          <w:szCs w:val="32"/>
          <w:lang w:val="en-US" w:eastAsia="zh-CN"/>
        </w:rPr>
      </w:pPr>
      <w:r>
        <w:rPr>
          <w:rFonts w:hint="default" w:ascii="仿宋_GB2312" w:hAnsi="Times New Roman" w:eastAsia="仿宋_GB2312" w:cs="Times New Roman"/>
          <w:b w:val="0"/>
          <w:bCs w:val="0"/>
          <w:sz w:val="32"/>
          <w:szCs w:val="32"/>
          <w:lang w:val="en-US" w:eastAsia="zh-CN"/>
        </w:rPr>
        <w:t>学术学位应突出教育教学的理论前沿性，注重培养基础理论扎实、具有系统专门知识，创新精神和创新能力过硬的学术创新型人才。</w:t>
      </w:r>
    </w:p>
    <w:p>
      <w:pPr>
        <w:numPr>
          <w:ilvl w:val="-1"/>
          <w:numId w:val="0"/>
        </w:numPr>
        <w:spacing w:line="560" w:lineRule="exact"/>
        <w:ind w:left="0" w:leftChars="0" w:firstLine="640" w:firstLineChars="200"/>
        <w:rPr>
          <w:rFonts w:hint="default" w:ascii="仿宋_GB2312" w:hAnsi="Times New Roman" w:eastAsia="仿宋_GB2312" w:cs="Times New Roman"/>
          <w:b w:val="0"/>
          <w:bCs w:val="0"/>
          <w:sz w:val="32"/>
          <w:szCs w:val="32"/>
          <w:lang w:val="en-US" w:eastAsia="zh-CN"/>
        </w:rPr>
      </w:pPr>
      <w:r>
        <w:rPr>
          <w:rFonts w:hint="default" w:ascii="仿宋_GB2312" w:hAnsi="Times New Roman" w:eastAsia="仿宋_GB2312" w:cs="Times New Roman"/>
          <w:b w:val="0"/>
          <w:bCs w:val="0"/>
          <w:sz w:val="32"/>
          <w:szCs w:val="32"/>
          <w:lang w:val="en-US" w:eastAsia="zh-CN"/>
        </w:rPr>
        <w:t>专业学位应突出教育教学的职业实践性，注重培养符合社会经济发展需求，能在实践中提炼并解决问题的实践创新型人才。</w:t>
      </w:r>
    </w:p>
    <w:p>
      <w:pPr>
        <w:numPr>
          <w:ilvl w:val="-1"/>
          <w:numId w:val="0"/>
        </w:numPr>
        <w:spacing w:line="56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三、研究方向</w:t>
      </w:r>
    </w:p>
    <w:p>
      <w:pPr>
        <w:numPr>
          <w:ilvl w:val="-1"/>
          <w:numId w:val="0"/>
        </w:numPr>
        <w:spacing w:line="560" w:lineRule="exact"/>
        <w:ind w:left="0" w:leftChars="0" w:firstLine="640" w:firstLineChars="200"/>
        <w:rPr>
          <w:rFonts w:hint="default" w:ascii="仿宋_GB2312" w:hAnsi="Times New Roman" w:eastAsia="仿宋_GB2312" w:cs="Times New Roman"/>
          <w:b w:val="0"/>
          <w:bCs w:val="0"/>
          <w:sz w:val="32"/>
          <w:szCs w:val="32"/>
          <w:lang w:val="en-US" w:eastAsia="zh-CN"/>
        </w:rPr>
      </w:pPr>
      <w:r>
        <w:rPr>
          <w:rFonts w:hint="default" w:ascii="仿宋_GB2312" w:hAnsi="Times New Roman" w:eastAsia="仿宋_GB2312" w:cs="Times New Roman"/>
          <w:b w:val="0"/>
          <w:bCs w:val="0"/>
          <w:sz w:val="32"/>
          <w:szCs w:val="32"/>
          <w:lang w:val="en-US" w:eastAsia="zh-CN"/>
        </w:rPr>
        <w:t>各学位点应根据《研究生教育学科专业目录（2022年）》</w:t>
      </w:r>
      <w:r>
        <w:rPr>
          <w:rFonts w:hint="eastAsia" w:ascii="仿宋_GB2312" w:hAnsi="Times New Roman" w:eastAsia="仿宋_GB2312" w:cs="Times New Roman"/>
          <w:b w:val="0"/>
          <w:bCs w:val="0"/>
          <w:sz w:val="32"/>
          <w:szCs w:val="32"/>
          <w:lang w:val="en-US" w:eastAsia="zh-CN"/>
        </w:rPr>
        <w:t>以及</w:t>
      </w:r>
      <w:r>
        <w:rPr>
          <w:rFonts w:hint="default" w:ascii="仿宋_GB2312" w:hAnsi="Times New Roman" w:eastAsia="仿宋_GB2312" w:cs="Times New Roman"/>
          <w:b w:val="0"/>
          <w:bCs w:val="0"/>
          <w:sz w:val="32"/>
          <w:szCs w:val="32"/>
          <w:lang w:val="en-US" w:eastAsia="zh-CN"/>
        </w:rPr>
        <w:t>《研究生教育学科专业简介及其学位基本要求》</w:t>
      </w:r>
      <w:r>
        <w:rPr>
          <w:rFonts w:hint="eastAsia" w:ascii="仿宋_GB2312" w:hAnsi="Times New Roman" w:eastAsia="仿宋_GB2312" w:cs="Times New Roman"/>
          <w:b w:val="0"/>
          <w:bCs w:val="0"/>
          <w:sz w:val="32"/>
          <w:szCs w:val="32"/>
          <w:lang w:val="en-US" w:eastAsia="zh-CN"/>
        </w:rPr>
        <w:t>（2024年版）的“学科范围”或“专业学位类别内涵”</w:t>
      </w:r>
      <w:r>
        <w:rPr>
          <w:rFonts w:hint="default" w:ascii="仿宋_GB2312" w:hAnsi="Times New Roman" w:eastAsia="仿宋_GB2312" w:cs="Times New Roman"/>
          <w:b w:val="0"/>
          <w:bCs w:val="0"/>
          <w:sz w:val="32"/>
          <w:szCs w:val="32"/>
          <w:lang w:val="en-US" w:eastAsia="zh-CN"/>
        </w:rPr>
        <w:t>设置研究方向</w:t>
      </w:r>
      <w:r>
        <w:rPr>
          <w:rFonts w:hint="eastAsia" w:ascii="仿宋_GB2312" w:hAnsi="Times New Roman" w:eastAsia="仿宋_GB2312" w:cs="Times New Roman"/>
          <w:b w:val="0"/>
          <w:bCs w:val="0"/>
          <w:sz w:val="32"/>
          <w:szCs w:val="32"/>
          <w:lang w:val="en-US" w:eastAsia="zh-CN"/>
        </w:rPr>
        <w:t>。</w:t>
      </w:r>
      <w:r>
        <w:rPr>
          <w:rFonts w:hint="default" w:ascii="仿宋_GB2312" w:hAnsi="Times New Roman" w:eastAsia="仿宋_GB2312" w:cs="Times New Roman"/>
          <w:b w:val="0"/>
          <w:bCs w:val="0"/>
          <w:sz w:val="32"/>
          <w:szCs w:val="32"/>
          <w:lang w:val="en-US" w:eastAsia="zh-CN"/>
        </w:rPr>
        <w:t>如</w:t>
      </w:r>
      <w:r>
        <w:rPr>
          <w:rFonts w:hint="eastAsia" w:ascii="仿宋_GB2312" w:hAnsi="Times New Roman" w:eastAsia="仿宋_GB2312" w:cs="Times New Roman"/>
          <w:b w:val="0"/>
          <w:bCs w:val="0"/>
          <w:sz w:val="32"/>
          <w:szCs w:val="32"/>
          <w:lang w:val="en-US" w:eastAsia="zh-CN"/>
        </w:rPr>
        <w:t>需另</w:t>
      </w:r>
      <w:r>
        <w:rPr>
          <w:rFonts w:hint="default" w:ascii="仿宋_GB2312" w:hAnsi="Times New Roman" w:eastAsia="仿宋_GB2312" w:cs="Times New Roman"/>
          <w:b w:val="0"/>
          <w:bCs w:val="0"/>
          <w:sz w:val="32"/>
          <w:szCs w:val="32"/>
          <w:lang w:val="en-US" w:eastAsia="zh-CN"/>
        </w:rPr>
        <w:t>设特色研究方向，最多不得超过2个。</w:t>
      </w:r>
    </w:p>
    <w:p>
      <w:pPr>
        <w:numPr>
          <w:ilvl w:val="-1"/>
          <w:numId w:val="0"/>
        </w:numPr>
        <w:spacing w:line="56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四、学习年限</w:t>
      </w:r>
    </w:p>
    <w:p>
      <w:pPr>
        <w:widowControl/>
        <w:numPr>
          <w:ilvl w:val="-1"/>
          <w:numId w:val="0"/>
        </w:numPr>
        <w:spacing w:line="560" w:lineRule="exact"/>
        <w:ind w:left="0" w:firstLine="640" w:firstLineChars="200"/>
        <w:jc w:val="left"/>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lang w:val="en-US" w:eastAsia="zh-CN"/>
        </w:rPr>
        <w:t>1.</w:t>
      </w:r>
      <w:r>
        <w:rPr>
          <w:rFonts w:hint="default" w:ascii="仿宋_GB2312" w:hAnsi="Times New Roman" w:eastAsia="仿宋_GB2312" w:cs="Times New Roman"/>
          <w:sz w:val="32"/>
          <w:szCs w:val="32"/>
          <w:highlight w:val="none"/>
        </w:rPr>
        <w:t>学术博士：学制3-4年，最长学习年限为7年（含休学）。</w:t>
      </w:r>
    </w:p>
    <w:p>
      <w:pPr>
        <w:widowControl/>
        <w:numPr>
          <w:ilvl w:val="-1"/>
          <w:numId w:val="0"/>
        </w:numPr>
        <w:spacing w:line="560" w:lineRule="exact"/>
        <w:ind w:left="0" w:firstLine="640" w:firstLineChars="200"/>
        <w:jc w:val="left"/>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lang w:val="en-US" w:eastAsia="zh-CN"/>
        </w:rPr>
        <w:t>2.</w:t>
      </w:r>
      <w:r>
        <w:rPr>
          <w:rFonts w:hint="default" w:ascii="仿宋_GB2312" w:hAnsi="Times New Roman" w:eastAsia="仿宋_GB2312" w:cs="Times New Roman"/>
          <w:sz w:val="32"/>
          <w:szCs w:val="32"/>
          <w:highlight w:val="none"/>
        </w:rPr>
        <w:t>学术硕士:学制3年，最长学习年限为5年（含休学）。</w:t>
      </w:r>
    </w:p>
    <w:p>
      <w:pPr>
        <w:widowControl/>
        <w:numPr>
          <w:ilvl w:val="-1"/>
          <w:numId w:val="0"/>
        </w:numPr>
        <w:spacing w:line="560" w:lineRule="exact"/>
        <w:ind w:left="2558" w:leftChars="304" w:hanging="1920" w:hangingChars="600"/>
        <w:jc w:val="left"/>
        <w:rPr>
          <w:rFonts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lang w:val="en-US" w:eastAsia="zh-CN"/>
        </w:rPr>
        <w:t>3.</w:t>
      </w:r>
      <w:r>
        <w:rPr>
          <w:rFonts w:hint="default" w:ascii="仿宋_GB2312" w:hAnsi="Times New Roman" w:eastAsia="仿宋_GB2312" w:cs="Times New Roman"/>
          <w:sz w:val="32"/>
          <w:szCs w:val="32"/>
          <w:highlight w:val="none"/>
        </w:rPr>
        <w:t>专业硕士：学制2-3年，最长学习年限为（学制+2）年（含休学）。</w:t>
      </w:r>
    </w:p>
    <w:p>
      <w:pPr>
        <w:numPr>
          <w:ilvl w:val="-1"/>
          <w:numId w:val="0"/>
        </w:numPr>
        <w:spacing w:line="56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五、培养方式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各学位点应对照</w:t>
      </w:r>
      <w:r>
        <w:rPr>
          <w:rFonts w:hint="eastAsia" w:ascii="仿宋_GB2312" w:hAnsi="Times New Roman" w:eastAsia="仿宋_GB2312" w:cs="Times New Roman"/>
          <w:b w:val="0"/>
          <w:bCs w:val="0"/>
          <w:kern w:val="0"/>
          <w:sz w:val="32"/>
          <w:szCs w:val="32"/>
          <w:lang w:val="en-US" w:eastAsia="zh-CN" w:bidi="ar-SA"/>
        </w:rPr>
        <w:t>《教育部关于深入推进学术学位与专业学位研究生教育分类发展的意见》（教研〔2023〕2号）</w:t>
      </w:r>
      <w:r>
        <w:rPr>
          <w:rFonts w:hint="eastAsia" w:ascii="仿宋_GB2312" w:hAnsi="Times New Roman" w:eastAsia="仿宋_GB2312" w:cs="Times New Roman"/>
          <w:b w:val="0"/>
          <w:bCs w:val="0"/>
          <w:sz w:val="32"/>
          <w:szCs w:val="32"/>
          <w:lang w:val="en-US" w:eastAsia="zh-CN"/>
        </w:rPr>
        <w:t>和</w:t>
      </w:r>
      <w:r>
        <w:rPr>
          <w:rFonts w:hint="eastAsia" w:ascii="仿宋_GB2312" w:hAnsi="Times New Roman" w:eastAsia="仿宋_GB2312"/>
          <w:b w:val="0"/>
          <w:bCs w:val="0"/>
          <w:sz w:val="32"/>
          <w:szCs w:val="32"/>
          <w:lang w:val="en-US" w:eastAsia="zh-CN"/>
        </w:rPr>
        <w:t>全国专业学位研究生教育指导委员会发布的最新版本指导性培养方案等上级规范性文件</w:t>
      </w:r>
      <w:r>
        <w:rPr>
          <w:rFonts w:hint="eastAsia" w:ascii="仿宋_GB2312" w:hAnsi="Times New Roman" w:eastAsia="仿宋_GB2312" w:cs="Times New Roman"/>
          <w:b w:val="0"/>
          <w:bCs w:val="0"/>
          <w:sz w:val="32"/>
          <w:szCs w:val="32"/>
          <w:lang w:val="en-US" w:eastAsia="zh-CN"/>
        </w:rPr>
        <w:t>，根据学术学位和专业学位分类培养的要求设置差异化的培养方式，可从教学模式、指导教师、指导方式、考评方式、联合培养等方面进行阐述。</w:t>
      </w:r>
    </w:p>
    <w:p>
      <w:pPr>
        <w:numPr>
          <w:ilvl w:val="0"/>
          <w:numId w:val="0"/>
        </w:numPr>
        <w:spacing w:line="56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六、课程设置与考核方式</w:t>
      </w:r>
    </w:p>
    <w:p>
      <w:pPr>
        <w:spacing w:line="560" w:lineRule="exact"/>
        <w:ind w:firstLine="640" w:firstLineChars="200"/>
        <w:rPr>
          <w:rFonts w:hint="eastAsia" w:ascii="仿宋_GB2312" w:hAnsi="Times New Roman" w:eastAsia="仿宋_GB2312"/>
          <w:b w:val="0"/>
          <w:bCs w:val="0"/>
          <w:sz w:val="32"/>
          <w:szCs w:val="32"/>
          <w:lang w:eastAsia="zh-CN"/>
        </w:rPr>
      </w:pPr>
      <w:r>
        <w:rPr>
          <w:rFonts w:hint="eastAsia" w:ascii="仿宋_GB2312" w:hAnsi="Times New Roman" w:eastAsia="仿宋_GB2312"/>
          <w:b w:val="0"/>
          <w:bCs w:val="0"/>
          <w:sz w:val="32"/>
          <w:szCs w:val="32"/>
          <w:lang w:eastAsia="zh-CN"/>
        </w:rPr>
        <w:t>（一）公共课程详见课程设置参考框架。</w:t>
      </w:r>
    </w:p>
    <w:p>
      <w:pPr>
        <w:spacing w:line="560" w:lineRule="exact"/>
        <w:ind w:firstLine="640" w:firstLineChars="200"/>
        <w:rPr>
          <w:rFonts w:hint="eastAsia" w:ascii="仿宋_GB2312" w:hAnsi="Times New Roman" w:eastAsia="仿宋_GB2312"/>
          <w:b w:val="0"/>
          <w:bCs w:val="0"/>
          <w:sz w:val="32"/>
          <w:szCs w:val="32"/>
          <w:lang w:eastAsia="zh-CN"/>
        </w:rPr>
      </w:pPr>
      <w:r>
        <w:rPr>
          <w:rFonts w:hint="eastAsia" w:ascii="仿宋_GB2312" w:hAnsi="Times New Roman" w:eastAsia="仿宋_GB2312"/>
          <w:b w:val="0"/>
          <w:bCs w:val="0"/>
          <w:sz w:val="32"/>
          <w:szCs w:val="32"/>
          <w:lang w:eastAsia="zh-CN"/>
        </w:rPr>
        <w:t>（二）专业课程由各培养单位</w:t>
      </w:r>
      <w:r>
        <w:rPr>
          <w:rFonts w:hint="eastAsia" w:ascii="仿宋_GB2312" w:hAnsi="Times New Roman" w:eastAsia="仿宋_GB2312"/>
          <w:b w:val="0"/>
          <w:bCs w:val="0"/>
          <w:sz w:val="32"/>
          <w:szCs w:val="32"/>
        </w:rPr>
        <w:t>对照国务院学位委员会学科评议组编写的《学术学位研究生核心课程指南（试行）》</w:t>
      </w:r>
      <w:r>
        <w:rPr>
          <w:rFonts w:hint="eastAsia" w:ascii="仿宋_GB2312" w:hAnsi="Times New Roman" w:eastAsia="仿宋_GB2312"/>
          <w:b w:val="0"/>
          <w:bCs w:val="0"/>
          <w:sz w:val="32"/>
          <w:szCs w:val="32"/>
          <w:lang w:eastAsia="zh-CN"/>
        </w:rPr>
        <w:t>、</w:t>
      </w:r>
      <w:r>
        <w:rPr>
          <w:rFonts w:hint="eastAsia" w:ascii="仿宋_GB2312" w:hAnsi="Times New Roman" w:eastAsia="仿宋_GB2312"/>
          <w:b w:val="0"/>
          <w:bCs w:val="0"/>
          <w:sz w:val="32"/>
          <w:szCs w:val="32"/>
        </w:rPr>
        <w:t>全国专业学位研究生教育指导委员会编写的《专业学位研究生核心课程指南（试行）</w:t>
      </w:r>
      <w:r>
        <w:rPr>
          <w:rFonts w:hint="eastAsia" w:ascii="仿宋_GB2312" w:hAnsi="Times New Roman" w:eastAsia="仿宋_GB2312"/>
          <w:b w:val="0"/>
          <w:bCs w:val="0"/>
          <w:sz w:val="32"/>
          <w:szCs w:val="32"/>
          <w:lang w:eastAsia="zh-CN"/>
        </w:rPr>
        <w:t>》</w:t>
      </w:r>
      <w:r>
        <w:rPr>
          <w:rFonts w:hint="eastAsia" w:ascii="仿宋_GB2312" w:hAnsi="Times New Roman" w:eastAsia="仿宋_GB2312"/>
          <w:b w:val="0"/>
          <w:bCs w:val="0"/>
          <w:sz w:val="32"/>
          <w:szCs w:val="32"/>
          <w:lang w:val="en-US" w:eastAsia="zh-CN"/>
        </w:rPr>
        <w:t>及全国专业学位研究生教育指导委员会发布的最新版本指导性培养方案等规范性文件进行自主设置</w:t>
      </w:r>
      <w:r>
        <w:rPr>
          <w:rFonts w:hint="eastAsia" w:ascii="仿宋_GB2312" w:hAnsi="Times New Roman" w:eastAsia="仿宋_GB2312"/>
          <w:b w:val="0"/>
          <w:bCs w:val="0"/>
          <w:sz w:val="32"/>
          <w:szCs w:val="32"/>
          <w:lang w:eastAsia="zh-CN"/>
        </w:rPr>
        <w:t>。</w:t>
      </w:r>
    </w:p>
    <w:p>
      <w:pPr>
        <w:numPr>
          <w:ilvl w:val="-1"/>
          <w:numId w:val="0"/>
        </w:numPr>
        <w:spacing w:line="560" w:lineRule="exact"/>
        <w:ind w:firstLine="640" w:firstLineChars="200"/>
        <w:rPr>
          <w:rFonts w:hint="eastAsia" w:ascii="仿宋_GB2312" w:hAnsi="Times New Roman" w:eastAsia="仿宋_GB2312"/>
          <w:b w:val="0"/>
          <w:bCs w:val="0"/>
          <w:i/>
          <w:iCs/>
          <w:sz w:val="32"/>
          <w:szCs w:val="32"/>
          <w:lang w:val="en-US" w:eastAsia="zh-CN"/>
        </w:rPr>
      </w:pPr>
      <w:r>
        <w:rPr>
          <w:rFonts w:hint="eastAsia" w:ascii="仿宋_GB2312" w:hAnsi="Times New Roman" w:eastAsia="仿宋_GB2312"/>
          <w:b w:val="0"/>
          <w:bCs w:val="0"/>
          <w:i/>
          <w:iCs/>
          <w:sz w:val="32"/>
          <w:szCs w:val="32"/>
          <w:lang w:val="en-US" w:eastAsia="zh-CN"/>
        </w:rPr>
        <w:t>参考示例：</w:t>
      </w:r>
    </w:p>
    <w:p>
      <w:pPr>
        <w:numPr>
          <w:ilvl w:val="-1"/>
          <w:numId w:val="0"/>
        </w:numPr>
        <w:spacing w:line="560" w:lineRule="exact"/>
        <w:ind w:firstLine="640" w:firstLineChars="200"/>
        <w:rPr>
          <w:rFonts w:hint="eastAsia" w:ascii="仿宋_GB2312" w:hAnsi="Times New Roman" w:eastAsia="仿宋_GB2312"/>
          <w:b w:val="0"/>
          <w:bCs w:val="0"/>
          <w:sz w:val="32"/>
          <w:szCs w:val="32"/>
          <w:lang w:val="en-US" w:eastAsia="zh-CN"/>
        </w:rPr>
      </w:pPr>
      <w:r>
        <w:rPr>
          <w:rFonts w:hint="eastAsia" w:ascii="仿宋_GB2312" w:hAnsi="Times New Roman" w:eastAsia="仿宋_GB2312"/>
          <w:b w:val="0"/>
          <w:bCs w:val="0"/>
          <w:sz w:val="32"/>
          <w:szCs w:val="32"/>
          <w:lang w:val="en-US" w:eastAsia="zh-CN"/>
        </w:rPr>
        <w:t>……（学术学位/专业学位）研究生课程体系主要由……课程构成。</w:t>
      </w:r>
      <w:r>
        <w:rPr>
          <w:rFonts w:hint="eastAsia" w:ascii="仿宋_GB2312" w:hAnsi="Times New Roman" w:eastAsia="仿宋_GB2312" w:cs="Times New Roman"/>
          <w:b w:val="0"/>
          <w:bCs w:val="0"/>
          <w:sz w:val="32"/>
          <w:szCs w:val="32"/>
          <w:lang w:val="en-US" w:eastAsia="zh-CN"/>
        </w:rPr>
        <w:t>学位类课程包括公共必修课、……，经考试合格并达到70分（含70分）以上，可获得学分；其它课程成绩达到60分（含60分）以上可获得学分。分阶段考核成绩比重由授课教师确定。</w:t>
      </w:r>
      <w:r>
        <w:rPr>
          <w:rFonts w:hint="eastAsia" w:ascii="仿宋_GB2312" w:hAnsi="Times New Roman" w:eastAsia="仿宋_GB2312"/>
          <w:b w:val="0"/>
          <w:bCs w:val="0"/>
          <w:sz w:val="32"/>
          <w:szCs w:val="32"/>
          <w:lang w:val="en-US" w:eastAsia="zh-CN"/>
        </w:rPr>
        <w:t>专业必修课应注重    ，由各培养单位组织教学，分   个学期开设，课程考核方式一般采用……。专业选修课应注重    ，由各培养单位组织教学，第   学期必须开设选修课，所有课程原则上第   学年开完，如学院认为确有必要，可在第   学期开设个别非学位课程，但须在开题前结束课程，课程框架参考如下：</w:t>
      </w:r>
    </w:p>
    <w:p>
      <w:pPr>
        <w:numPr>
          <w:ilvl w:val="0"/>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b w:val="0"/>
          <w:bCs w:val="0"/>
          <w:sz w:val="32"/>
          <w:szCs w:val="32"/>
          <w:lang w:val="en-US" w:eastAsia="zh-CN"/>
        </w:rPr>
        <w:t>1.公共必修课：</w:t>
      </w:r>
      <w:r>
        <w:rPr>
          <w:rFonts w:hint="eastAsia" w:ascii="Times New Roman" w:hAnsi="Times New Roman" w:eastAsia="仿宋_GB2312" w:cs="Times New Roman"/>
          <w:sz w:val="32"/>
          <w:szCs w:val="32"/>
          <w:lang w:val="en-US" w:eastAsia="zh-CN"/>
        </w:rPr>
        <w:t>公共必修课包含政治理论课和外语课。</w:t>
      </w:r>
    </w:p>
    <w:p>
      <w:pPr>
        <w:numPr>
          <w:ilvl w:val="0"/>
          <w:numId w:val="0"/>
        </w:numPr>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（1）政治理论课（由马克思主义学院组织教学）</w:t>
      </w:r>
    </w:p>
    <w:p>
      <w:pPr>
        <w:numPr>
          <w:ilvl w:val="0"/>
          <w:numId w:val="0"/>
        </w:numPr>
        <w:spacing w:line="560" w:lineRule="exact"/>
        <w:ind w:firstLine="640" w:firstLineChars="200"/>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硕士研究生必修</w:t>
      </w:r>
      <w:r>
        <w:rPr>
          <w:rFonts w:hint="eastAsia" w:ascii="Times New Roman" w:hAnsi="Times New Roman" w:eastAsia="仿宋_GB2312"/>
          <w:b w:val="0"/>
          <w:bCs w:val="0"/>
          <w:sz w:val="32"/>
          <w:szCs w:val="32"/>
        </w:rPr>
        <w:t>《中国特色社会主义理论与实践研究》（2学分）</w:t>
      </w:r>
      <w:r>
        <w:rPr>
          <w:rFonts w:hint="eastAsia" w:ascii="Times New Roman" w:hAnsi="Times New Roman" w:eastAsia="仿宋_GB2312"/>
          <w:b w:val="0"/>
          <w:bCs w:val="0"/>
          <w:sz w:val="32"/>
          <w:szCs w:val="32"/>
          <w:lang w:eastAsia="zh-CN"/>
        </w:rPr>
        <w:t>；</w:t>
      </w:r>
    </w:p>
    <w:p>
      <w:pPr>
        <w:numPr>
          <w:ilvl w:val="0"/>
          <w:numId w:val="0"/>
        </w:numPr>
        <w:spacing w:line="560" w:lineRule="exact"/>
        <w:ind w:firstLine="640" w:firstLineChars="200"/>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rPr>
        <w:t>人文社科类硕士研究生必修《马克思主义与社会科学方法论》（1学分）</w:t>
      </w:r>
      <w:r>
        <w:rPr>
          <w:rFonts w:hint="eastAsia" w:ascii="Times New Roman" w:hAnsi="Times New Roman" w:eastAsia="仿宋_GB2312"/>
          <w:b w:val="0"/>
          <w:bCs w:val="0"/>
          <w:sz w:val="32"/>
          <w:szCs w:val="32"/>
          <w:lang w:eastAsia="zh-CN"/>
        </w:rPr>
        <w:t>；</w:t>
      </w:r>
    </w:p>
    <w:p>
      <w:pPr>
        <w:numPr>
          <w:ilvl w:val="0"/>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b w:val="0"/>
          <w:bCs w:val="0"/>
          <w:sz w:val="32"/>
          <w:szCs w:val="32"/>
        </w:rPr>
        <w:t>理工类硕士研究生必修《自然辩证法概论》（1学分）</w:t>
      </w:r>
      <w:r>
        <w:rPr>
          <w:rFonts w:hint="eastAsia" w:ascii="Times New Roman" w:hAnsi="Times New Roman" w:eastAsia="仿宋_GB2312"/>
          <w:b w:val="0"/>
          <w:bCs w:val="0"/>
          <w:sz w:val="32"/>
          <w:szCs w:val="32"/>
          <w:lang w:eastAsia="zh-CN"/>
        </w:rPr>
        <w:t>。</w:t>
      </w:r>
    </w:p>
    <w:p>
      <w:pPr>
        <w:numPr>
          <w:ilvl w:val="-1"/>
          <w:numId w:val="0"/>
        </w:numPr>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cs="Times New Roman"/>
          <w:sz w:val="32"/>
          <w:szCs w:val="32"/>
          <w:lang w:val="en-US" w:eastAsia="zh-CN"/>
        </w:rPr>
        <w:t>（2）外语课</w:t>
      </w:r>
      <w:r>
        <w:rPr>
          <w:rFonts w:hint="eastAsia" w:ascii="Times New Roman" w:hAnsi="Times New Roman" w:eastAsia="仿宋_GB2312"/>
          <w:b w:val="0"/>
          <w:bCs w:val="0"/>
          <w:sz w:val="32"/>
          <w:szCs w:val="32"/>
          <w:lang w:val="en-US" w:eastAsia="zh-CN"/>
        </w:rPr>
        <w:t>（由外国语学院组织教学）。</w:t>
      </w:r>
    </w:p>
    <w:p>
      <w:pPr>
        <w:numPr>
          <w:ilvl w:val="0"/>
          <w:numId w:val="0"/>
        </w:numPr>
        <w:spacing w:line="560" w:lineRule="exact"/>
        <w:ind w:firstLine="640" w:firstLineChars="200"/>
        <w:rPr>
          <w:rFonts w:hint="eastAsia" w:ascii="仿宋_GB2312" w:hAnsi="仿宋_GB2312" w:eastAsia="仿宋_GB2312" w:cs="仿宋_GB2312"/>
          <w:color w:val="000000"/>
          <w:sz w:val="28"/>
          <w:szCs w:val="28"/>
          <w:lang w:val="en-US" w:eastAsia="zh-CN"/>
        </w:rPr>
      </w:pPr>
      <w:r>
        <w:rPr>
          <w:rFonts w:hint="eastAsia" w:ascii="Times New Roman" w:hAnsi="Times New Roman" w:eastAsia="仿宋_GB2312"/>
          <w:b w:val="0"/>
          <w:bCs w:val="0"/>
          <w:sz w:val="32"/>
          <w:szCs w:val="32"/>
          <w:lang w:val="en-US" w:eastAsia="zh-CN"/>
        </w:rPr>
        <w:t>学术学位研究生必修</w:t>
      </w:r>
      <w:r>
        <w:rPr>
          <w:rFonts w:hint="eastAsia" w:ascii="Times New Roman" w:hAnsi="Times New Roman" w:eastAsia="仿宋_GB2312"/>
          <w:b w:val="0"/>
          <w:bCs w:val="0"/>
          <w:sz w:val="32"/>
          <w:szCs w:val="32"/>
        </w:rPr>
        <w:t>《基础英语》（3学分）（包括综合英语（入学考试成绩69分以下者必修）</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高级英语（入学考试成绩达到70分及以上者必修）</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雅思或托福英语（3选1）、实用商务英语（3选1）</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国际学术英语（3选1）。</w:t>
      </w:r>
    </w:p>
    <w:p>
      <w:pPr>
        <w:numPr>
          <w:ilvl w:val="0"/>
          <w:numId w:val="0"/>
        </w:numPr>
        <w:spacing w:line="560" w:lineRule="exact"/>
        <w:ind w:firstLine="640" w:firstLineChars="200"/>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2.</w:t>
      </w:r>
      <w:r>
        <w:rPr>
          <w:rFonts w:hint="eastAsia" w:ascii="Times New Roman" w:hAnsi="Times New Roman" w:eastAsia="仿宋_GB2312"/>
          <w:b w:val="0"/>
          <w:bCs w:val="0"/>
          <w:sz w:val="32"/>
          <w:szCs w:val="32"/>
        </w:rPr>
        <w:t>公共选修课：</w:t>
      </w:r>
      <w:r>
        <w:rPr>
          <w:rFonts w:hint="eastAsia" w:ascii="Times New Roman" w:hAnsi="Times New Roman" w:eastAsia="仿宋_GB2312"/>
          <w:b w:val="0"/>
          <w:bCs w:val="0"/>
          <w:sz w:val="32"/>
          <w:szCs w:val="32"/>
          <w:lang w:eastAsia="zh-CN"/>
        </w:rPr>
        <w:t>详见研究生院公布的公共选修课课程清单。</w:t>
      </w:r>
      <w:r>
        <w:rPr>
          <w:rFonts w:hint="eastAsia" w:ascii="Times New Roman" w:hAnsi="Times New Roman" w:eastAsia="仿宋_GB2312"/>
          <w:b w:val="0"/>
          <w:bCs w:val="0"/>
          <w:sz w:val="32"/>
          <w:szCs w:val="32"/>
        </w:rPr>
        <w:t>学术学位研究生应修1学分。</w:t>
      </w:r>
    </w:p>
    <w:p>
      <w:pPr>
        <w:numPr>
          <w:ilvl w:val="-1"/>
          <w:numId w:val="0"/>
        </w:numPr>
        <w:spacing w:line="560"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3.专业必修课：须反映本学科、专业学位研究生应具备的专业基础理论知识及专业能力，可下设学科基础课、专业核心课或特色方向课等。对授课方式和考核方式有统一规定和要求的，应明确列明。</w:t>
      </w:r>
    </w:p>
    <w:p>
      <w:pPr>
        <w:numPr>
          <w:ilvl w:val="-1"/>
          <w:numId w:val="0"/>
        </w:numPr>
        <w:spacing w:line="560"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4.专业选修课：课程应结合本学科主要学科领域和研究方向学术前沿设置，其内容应反映学科专业的新发展、新方向，由各学院自行设置课程并组织教学。</w:t>
      </w:r>
    </w:p>
    <w:p>
      <w:pPr>
        <w:numPr>
          <w:ilvl w:val="-1"/>
          <w:numId w:val="0"/>
        </w:numPr>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此外，跨学科（专业）及以同等学力录取的研究生是否需要补修课程由各培养单位自定并在培养方案上说明。</w:t>
      </w:r>
    </w:p>
    <w:p>
      <w:pPr>
        <w:numPr>
          <w:ilvl w:val="-1"/>
          <w:numId w:val="0"/>
        </w:numPr>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具体填写课程设置表格。</w:t>
      </w:r>
    </w:p>
    <w:p>
      <w:pPr>
        <w:numPr>
          <w:ilvl w:val="-1"/>
          <w:numId w:val="0"/>
        </w:numPr>
        <w:spacing w:line="56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七、必修环节及要求</w:t>
      </w:r>
    </w:p>
    <w:p>
      <w:pPr>
        <w:numPr>
          <w:ilvl w:val="0"/>
          <w:numId w:val="0"/>
        </w:numPr>
        <w:spacing w:line="560" w:lineRule="exact"/>
        <w:ind w:left="0" w:leftChars="0" w:firstLine="640" w:firstLineChars="20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必修环节包括但不限于专业实践、学术活动、文献阅读、竞赛等环节和要求。学术学位和专业学位应根据分类培养、分类发展的目标，对照</w:t>
      </w:r>
      <w:r>
        <w:rPr>
          <w:rFonts w:hint="eastAsia" w:ascii="仿宋_GB2312" w:hAnsi="Times New Roman" w:eastAsia="仿宋_GB2312" w:cs="Times New Roman"/>
          <w:sz w:val="32"/>
          <w:szCs w:val="32"/>
          <w:lang w:val="en-US" w:eastAsia="zh-CN"/>
        </w:rPr>
        <w:t>《研究生教育学科专业简介及其学位基本要求》</w:t>
      </w:r>
      <w:r>
        <w:rPr>
          <w:rFonts w:hint="eastAsia" w:ascii="仿宋_GB2312" w:hAnsi="Times New Roman" w:eastAsia="仿宋_GB2312" w:cs="Times New Roman"/>
          <w:b w:val="0"/>
          <w:bCs w:val="0"/>
          <w:sz w:val="32"/>
          <w:szCs w:val="32"/>
          <w:lang w:val="en-US" w:eastAsia="zh-CN"/>
        </w:rPr>
        <w:t>（2024年版）</w:t>
      </w:r>
      <w:r>
        <w:rPr>
          <w:rFonts w:hint="eastAsia" w:ascii="仿宋_GB2312" w:hAnsi="Times New Roman" w:eastAsia="仿宋_GB2312" w:cs="Times New Roman"/>
          <w:sz w:val="32"/>
          <w:szCs w:val="32"/>
          <w:lang w:val="en-US" w:eastAsia="zh-CN"/>
        </w:rPr>
        <w:t>及全国专业学位研究生教育指导委员会发布的最新版本指导性培养方案，</w:t>
      </w:r>
      <w:r>
        <w:rPr>
          <w:rFonts w:hint="eastAsia" w:ascii="仿宋_GB2312" w:hAnsi="Times New Roman" w:eastAsia="仿宋_GB2312" w:cs="Times New Roman"/>
          <w:b w:val="0"/>
          <w:bCs w:val="0"/>
          <w:sz w:val="32"/>
          <w:szCs w:val="32"/>
          <w:lang w:val="en-US" w:eastAsia="zh-CN"/>
        </w:rPr>
        <w:t>自主确定该环节的开展形式，并应撰写具体内容和学分要求，包括但不限于时间、学分、考核方式等的表述。</w:t>
      </w:r>
    </w:p>
    <w:p>
      <w:pPr>
        <w:numPr>
          <w:ilvl w:val="0"/>
          <w:numId w:val="0"/>
        </w:numPr>
        <w:spacing w:line="520" w:lineRule="exact"/>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专业学位应重点结合《研究生教育学科专业简介及其学位基本要求》（2024年版）中“获本专业学位类别硕士应接受的实践训练”，</w:t>
      </w:r>
      <w:r>
        <w:rPr>
          <w:rFonts w:hint="default" w:ascii="仿宋_GB2312" w:hAnsi="Times New Roman" w:eastAsia="仿宋_GB2312" w:cs="Times New Roman"/>
          <w:b w:val="0"/>
          <w:bCs w:val="0"/>
          <w:sz w:val="32"/>
          <w:szCs w:val="32"/>
          <w:lang w:val="en-US" w:eastAsia="zh-CN"/>
        </w:rPr>
        <w:t>结合</w:t>
      </w:r>
      <w:r>
        <w:rPr>
          <w:rFonts w:hint="eastAsia" w:ascii="仿宋_GB2312" w:hAnsi="Times New Roman" w:eastAsia="仿宋_GB2312" w:cs="Times New Roman"/>
          <w:b w:val="0"/>
          <w:bCs w:val="0"/>
          <w:sz w:val="32"/>
          <w:szCs w:val="32"/>
          <w:lang w:val="en-US" w:eastAsia="zh-CN"/>
        </w:rPr>
        <w:t>学校各专业学位</w:t>
      </w:r>
      <w:r>
        <w:rPr>
          <w:rFonts w:hint="default" w:ascii="仿宋_GB2312" w:hAnsi="Times New Roman" w:eastAsia="仿宋_GB2312" w:cs="Times New Roman"/>
          <w:b w:val="0"/>
          <w:bCs w:val="0"/>
          <w:sz w:val="32"/>
          <w:szCs w:val="32"/>
          <w:lang w:val="en-US" w:eastAsia="zh-CN"/>
        </w:rPr>
        <w:t>特色编写。</w:t>
      </w:r>
    </w:p>
    <w:p>
      <w:pPr>
        <w:numPr>
          <w:ilvl w:val="-1"/>
          <w:numId w:val="0"/>
        </w:numPr>
        <w:spacing w:line="56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八、学分要求</w:t>
      </w:r>
    </w:p>
    <w:p>
      <w:pPr>
        <w:numPr>
          <w:ilvl w:val="-1"/>
          <w:numId w:val="0"/>
        </w:numPr>
        <w:spacing w:line="560" w:lineRule="exact"/>
        <w:ind w:left="0" w:leftChars="0" w:firstLine="640" w:firstLineChars="20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学分要求应包括毕业要求总学分，各类课程学分要求及必修环节学分要求。研究生修满学分，完成必修环节，中期考核合格，完成毕业论文并通过毕业答辩方可毕业。</w:t>
      </w:r>
    </w:p>
    <w:p>
      <w:pPr>
        <w:numPr>
          <w:ilvl w:val="-1"/>
          <w:numId w:val="0"/>
        </w:numPr>
        <w:spacing w:line="56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九、学位论文及学位授予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具体要求按照《中华人民共和国学位法》和《研究生教育学科专业简介及其学位基本要求》（2024年版），原则上应包含学位论文形式与质量要求，如形式、选题、内容、规范性、水平、评审等方面的具体要求。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bCs/>
          <w:sz w:val="32"/>
          <w:szCs w:val="32"/>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inorEastAsia" w:hAnsiTheme="minorEastAsia" w:eastAsiaTheme="minorEastAsia" w:cstheme="min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广东财经大学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XX专业（学术学位/专业学位）硕士研究生培养方案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heme="minorEastAsia" w:hAnsiTheme="minorEastAsia" w:eastAsiaTheme="minorEastAsia" w:cstheme="minorEastAsia"/>
          <w:b/>
          <w:bCs/>
          <w:sz w:val="24"/>
          <w:szCs w:val="24"/>
          <w:lang w:val="en-US" w:eastAsia="zh-CN"/>
        </w:rPr>
        <w:t>学科代码：</w:t>
      </w:r>
      <w:r>
        <w:commentReference w:id="0"/>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培养目标</w:t>
      </w:r>
      <w:r>
        <w:rPr>
          <w:rFonts w:hint="eastAsia" w:ascii="仿宋_GB2312" w:hAnsi="Times New Roman" w:eastAsia="仿宋_GB2312" w:cs="Times New Roman"/>
          <w:b/>
          <w:bCs/>
          <w:sz w:val="24"/>
          <w:szCs w:val="24"/>
          <w:lang w:val="en-US" w:eastAsia="zh-Hans"/>
        </w:rPr>
        <w:t>（一级标题设置段后间距</w:t>
      </w:r>
      <w:r>
        <w:rPr>
          <w:rFonts w:hint="default" w:ascii="仿宋_GB2312" w:hAnsi="Times New Roman" w:eastAsia="仿宋_GB2312" w:cs="Times New Roman"/>
          <w:b/>
          <w:bCs/>
          <w:sz w:val="24"/>
          <w:szCs w:val="24"/>
          <w:lang w:eastAsia="zh-Hans"/>
        </w:rPr>
        <w:t>6</w:t>
      </w:r>
      <w:r>
        <w:rPr>
          <w:rFonts w:hint="eastAsia" w:ascii="仿宋_GB2312" w:hAnsi="Times New Roman" w:eastAsia="仿宋_GB2312" w:cs="Times New Roman"/>
          <w:b/>
          <w:bCs/>
          <w:sz w:val="24"/>
          <w:szCs w:val="24"/>
          <w:lang w:val="en-US" w:eastAsia="zh-Hans"/>
        </w:rPr>
        <w:t>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（正文采用宋体小四号，如正文中有数字或英文，采用Times</w:t>
      </w: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New</w:t>
      </w: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Roman字体，正文行距使用固定值</w:t>
      </w:r>
      <w:r>
        <w:rPr>
          <w:rFonts w:hint="eastAsia" w:ascii="宋体" w:hAnsi="宋体" w:eastAsia="宋体" w:cs="宋体"/>
          <w:b w:val="0"/>
          <w:bCs w:val="0"/>
          <w:sz w:val="24"/>
          <w:szCs w:val="24"/>
          <w:lang w:eastAsia="zh-Hans"/>
        </w:rPr>
        <w:t>18</w:t>
      </w:r>
      <w:r>
        <w:rPr>
          <w:rFonts w:hint="eastAsia" w:ascii="宋体" w:hAnsi="宋体" w:eastAsia="宋体" w:cs="宋体"/>
          <w:b w:val="0"/>
          <w:bCs w:val="0"/>
          <w:sz w:val="24"/>
          <w:szCs w:val="24"/>
          <w:lang w:val="en-US" w:eastAsia="zh-Hans"/>
        </w:rPr>
        <w:t>磅，段后无需空行，对齐方式采用两端对齐）</w:t>
      </w:r>
    </w:p>
    <w:p>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研究方向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学习年限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培养方式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课程设置与考核方式</w:t>
      </w:r>
    </w:p>
    <w:p>
      <w:pPr>
        <w:keepNext w:val="0"/>
        <w:keepLines w:val="0"/>
        <w:pageBreakBefore w:val="0"/>
        <w:widowControl w:val="0"/>
        <w:numPr>
          <w:ilvl w:val="0"/>
          <w:numId w:val="0"/>
        </w:numPr>
        <w:tabs>
          <w:tab w:val="left" w:pos="1441"/>
        </w:tabs>
        <w:kinsoku/>
        <w:wordWrap/>
        <w:overflowPunct/>
        <w:topLinePunct w:val="0"/>
        <w:autoSpaceDE/>
        <w:autoSpaceDN/>
        <w:bidi w:val="0"/>
        <w:adjustRightInd/>
        <w:snapToGrid/>
        <w:spacing w:after="120" w:line="560" w:lineRule="exact"/>
        <w:ind w:left="630" w:leftChars="0"/>
        <w:textAlignment w:val="auto"/>
        <w:rPr>
          <w:rFonts w:hint="eastAsia" w:ascii="仿宋_GB2312" w:hAnsi="Times New Roman" w:eastAsia="仿宋_GB2312" w:cs="Times New Roman"/>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必修环节及要求</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left="630" w:leftChars="0"/>
        <w:textAlignment w:val="auto"/>
        <w:rPr>
          <w:rFonts w:hint="eastAsia" w:ascii="仿宋_GB2312" w:hAnsi="Times New Roman" w:eastAsia="仿宋_GB2312" w:cs="Times New Roman"/>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学分要求</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left="630" w:leftChars="0"/>
        <w:textAlignment w:val="auto"/>
        <w:rPr>
          <w:rFonts w:hint="eastAsia" w:ascii="仿宋_GB2312" w:hAnsi="Times New Roman" w:eastAsia="仿宋_GB2312" w:cs="Times New Roman"/>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13" w:leftChars="0" w:firstLine="643" w:firstLineChars="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学位论文及学位授予</w:t>
      </w:r>
    </w:p>
    <w:p>
      <w:pPr>
        <w:keepNext w:val="0"/>
        <w:keepLines w:val="0"/>
        <w:pageBreakBefore w:val="0"/>
        <w:widowControl w:val="0"/>
        <w:numPr>
          <w:ilvl w:val="0"/>
          <w:numId w:val="0"/>
        </w:numPr>
        <w:kinsoku/>
        <w:wordWrap/>
        <w:overflowPunct/>
        <w:topLinePunct w:val="0"/>
        <w:autoSpaceDE/>
        <w:autoSpaceDN/>
        <w:bidi w:val="0"/>
        <w:adjustRightInd/>
        <w:snapToGrid/>
        <w:spacing w:after="120" w:line="240" w:lineRule="auto"/>
        <w:jc w:val="center"/>
        <w:textAlignment w:val="auto"/>
        <w:rPr>
          <w:rFonts w:hint="eastAsia" w:ascii="宋体" w:hAnsi="宋体" w:eastAsia="宋体" w:cs="宋体"/>
          <w:b/>
          <w:bCs/>
          <w:kern w:val="44"/>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120" w:line="240" w:lineRule="auto"/>
        <w:jc w:val="center"/>
        <w:textAlignment w:val="auto"/>
        <w:rPr>
          <w:rFonts w:hint="eastAsia" w:ascii="宋体" w:hAnsi="宋体" w:eastAsia="宋体" w:cs="宋体"/>
          <w:b/>
          <w:bCs/>
          <w:kern w:val="44"/>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b/>
          <w:bCs/>
          <w:kern w:val="44"/>
          <w:sz w:val="24"/>
          <w:szCs w:val="24"/>
          <w:lang w:val="en-US" w:eastAsia="zh-CN" w:bidi="ar"/>
        </w:rPr>
      </w:pPr>
    </w:p>
    <w:p>
      <w:pPr>
        <w:pStyle w:val="2"/>
        <w:keepNext w:val="0"/>
        <w:keepLines w:val="0"/>
        <w:pageBreakBefore w:val="0"/>
        <w:widowControl w:val="0"/>
        <w:tabs>
          <w:tab w:val="center" w:pos="1204"/>
          <w:tab w:val="left" w:pos="2897"/>
        </w:tabs>
        <w:kinsoku/>
        <w:wordWrap/>
        <w:overflowPunct/>
        <w:topLinePunct w:val="0"/>
        <w:autoSpaceDE/>
        <w:autoSpaceDN/>
        <w:bidi w:val="0"/>
        <w:adjustRightInd/>
        <w:snapToGrid/>
        <w:spacing w:before="313" w:beforeLines="100" w:beforeAutospacing="0" w:afterAutospacing="0"/>
        <w:jc w:val="center"/>
        <w:textAlignment w:val="auto"/>
        <w:rPr>
          <w:rFonts w:hint="eastAsia"/>
          <w:sz w:val="24"/>
          <w:szCs w:val="24"/>
          <w:lang w:val="en-US" w:eastAsia="zh-CN"/>
        </w:rPr>
      </w:pPr>
      <w:r>
        <w:rPr>
          <w:rFonts w:hint="eastAsia"/>
          <w:sz w:val="24"/>
          <w:szCs w:val="24"/>
          <w:lang w:val="en-US" w:eastAsia="zh-CN"/>
        </w:rPr>
        <w:t>学术学位研究生课程设置参考框架</w:t>
      </w:r>
    </w:p>
    <w:tbl>
      <w:tblPr>
        <w:tblStyle w:val="7"/>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409"/>
        <w:gridCol w:w="1374"/>
        <w:gridCol w:w="2444"/>
        <w:gridCol w:w="1255"/>
        <w:gridCol w:w="545"/>
        <w:gridCol w:w="545"/>
        <w:gridCol w:w="54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gridSpan w:val="2"/>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性质</w:t>
            </w: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课程代码</w:t>
            </w:r>
          </w:p>
        </w:tc>
        <w:tc>
          <w:tcPr>
            <w:tcW w:w="2444" w:type="dxa"/>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课程名称（中/英文）</w:t>
            </w: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开课单位</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学分</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学时</w:t>
            </w: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学期</w:t>
            </w: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9" w:type="dxa"/>
            <w:vMerge w:val="restart"/>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r>
              <w:rPr>
                <w:rFonts w:hint="eastAsia" w:ascii="宋体" w:hAnsi="宋体" w:cs="宋体"/>
                <w:color w:val="000000"/>
                <w:kern w:val="0"/>
                <w:sz w:val="20"/>
              </w:rPr>
              <w:t>公共必修课</w:t>
            </w:r>
          </w:p>
        </w:tc>
        <w:tc>
          <w:tcPr>
            <w:tcW w:w="409" w:type="dxa"/>
            <w:vMerge w:val="restart"/>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r>
              <w:rPr>
                <w:rFonts w:hint="eastAsia" w:ascii="宋体" w:hAnsi="宋体" w:cs="宋体"/>
                <w:color w:val="000000"/>
                <w:kern w:val="0"/>
                <w:sz w:val="20"/>
              </w:rPr>
              <w:t>政治理论课</w:t>
            </w: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lang w:val="en-US" w:eastAsia="zh-CN"/>
              </w:rPr>
            </w:pPr>
            <w:r>
              <w:rPr>
                <w:rFonts w:hint="eastAsia" w:ascii="宋体" w:hAnsi="宋体" w:cs="宋体"/>
                <w:color w:val="000000"/>
                <w:kern w:val="0"/>
                <w:sz w:val="20"/>
              </w:rPr>
              <w:t>G2205001</w:t>
            </w:r>
          </w:p>
        </w:tc>
        <w:tc>
          <w:tcPr>
            <w:tcW w:w="2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lang w:eastAsia="zh-CN"/>
              </w:rPr>
            </w:pPr>
            <w:r>
              <w:rPr>
                <w:rFonts w:hint="eastAsia" w:ascii="宋体" w:hAnsi="宋体" w:cs="宋体"/>
                <w:color w:val="000000"/>
                <w:kern w:val="0"/>
                <w:sz w:val="20"/>
              </w:rPr>
              <w:t>新时代中国特色社会主义理论与实践</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The Theory and Practice of Socialism with Chinese Characteristics in New Era</w:t>
            </w: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马克思主义学院</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2</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32</w:t>
            </w: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1/2</w:t>
            </w: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9" w:type="dxa"/>
            <w:vMerge w:val="continue"/>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p>
        </w:tc>
        <w:tc>
          <w:tcPr>
            <w:tcW w:w="409" w:type="dxa"/>
            <w:vMerge w:val="continue"/>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G2205002</w:t>
            </w:r>
          </w:p>
        </w:tc>
        <w:tc>
          <w:tcPr>
            <w:tcW w:w="2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commentRangeStart w:id="1"/>
            <w:r>
              <w:rPr>
                <w:rFonts w:hint="eastAsia" w:ascii="宋体" w:hAnsi="宋体" w:eastAsia="宋体" w:cs="宋体"/>
                <w:color w:val="auto"/>
                <w:kern w:val="0"/>
                <w:sz w:val="20"/>
                <w:szCs w:val="20"/>
                <w:shd w:val="clear" w:color="auto" w:fill="auto"/>
              </w:rPr>
              <w:t>马克思主义与社会科学方法论</w:t>
            </w:r>
            <w:r>
              <w:rPr>
                <w:rFonts w:hint="eastAsia" w:ascii="宋体" w:hAnsi="宋体" w:eastAsia="宋体" w:cs="宋体"/>
                <w:color w:val="auto"/>
                <w:kern w:val="0"/>
                <w:sz w:val="20"/>
                <w:szCs w:val="20"/>
                <w:shd w:val="clear" w:color="auto" w:fill="auto"/>
              </w:rPr>
              <w:br w:type="textWrapping"/>
            </w:r>
            <w:r>
              <w:rPr>
                <w:rFonts w:hint="eastAsia" w:ascii="宋体" w:hAnsi="宋体" w:eastAsia="宋体" w:cs="宋体"/>
                <w:color w:val="auto"/>
                <w:kern w:val="0"/>
                <w:sz w:val="20"/>
                <w:szCs w:val="20"/>
                <w:shd w:val="clear" w:color="auto" w:fill="auto"/>
              </w:rPr>
              <w:t>Marxism and Social Science Methodology</w:t>
            </w:r>
            <w:commentRangeEnd w:id="1"/>
            <w:r>
              <w:rPr>
                <w:color w:val="auto"/>
                <w:shd w:val="clear" w:color="auto" w:fill="auto"/>
              </w:rPr>
              <w:commentReference w:id="1"/>
            </w: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马克思主义学院</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1</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16</w:t>
            </w: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2</w:t>
            </w: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0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20"/>
              </w:rPr>
            </w:pPr>
          </w:p>
        </w:tc>
        <w:tc>
          <w:tcPr>
            <w:tcW w:w="409"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通用英语课（2选1）</w:t>
            </w: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G4105004-1</w:t>
            </w:r>
          </w:p>
        </w:tc>
        <w:tc>
          <w:tcPr>
            <w:tcW w:w="244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综合英语</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lang w:val="en-US" w:eastAsia="zh-CN"/>
              </w:rPr>
              <w:t>I</w:t>
            </w:r>
            <w:r>
              <w:rPr>
                <w:rFonts w:hint="eastAsia" w:ascii="宋体" w:hAnsi="宋体" w:eastAsia="宋体" w:cs="宋体"/>
                <w:color w:val="000000"/>
                <w:kern w:val="0"/>
                <w:sz w:val="20"/>
                <w:szCs w:val="20"/>
              </w:rPr>
              <w:t>ntegrated English</w:t>
            </w: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外国语学院</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2</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32</w:t>
            </w: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1</w:t>
            </w: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commentRangeStart w:id="2"/>
            <w:r>
              <w:rPr>
                <w:rFonts w:hint="eastAsia" w:ascii="宋体" w:hAnsi="宋体" w:eastAsia="宋体" w:cs="宋体"/>
                <w:color w:val="000000"/>
                <w:kern w:val="0"/>
                <w:sz w:val="20"/>
                <w:szCs w:val="20"/>
              </w:rPr>
              <w:t>考查</w:t>
            </w:r>
            <w:commentRangeEnd w:id="2"/>
            <w: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0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20"/>
              </w:rPr>
            </w:pPr>
          </w:p>
        </w:tc>
        <w:tc>
          <w:tcPr>
            <w:tcW w:w="40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G4105004</w:t>
            </w:r>
            <w:bookmarkStart w:id="0" w:name="_GoBack"/>
            <w:bookmarkEnd w:id="0"/>
            <w:r>
              <w:rPr>
                <w:rFonts w:hint="eastAsia" w:ascii="宋体" w:hAnsi="宋体" w:eastAsia="宋体" w:cs="宋体"/>
                <w:color w:val="000000"/>
                <w:kern w:val="0"/>
                <w:sz w:val="20"/>
                <w:szCs w:val="20"/>
              </w:rPr>
              <w:t>-2</w:t>
            </w:r>
          </w:p>
        </w:tc>
        <w:tc>
          <w:tcPr>
            <w:tcW w:w="2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高级英语</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Advanced English</w:t>
            </w: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外国语学院</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2</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32</w:t>
            </w: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1</w:t>
            </w: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0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20"/>
              </w:rPr>
            </w:pPr>
          </w:p>
        </w:tc>
        <w:tc>
          <w:tcPr>
            <w:tcW w:w="409"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000000"/>
                <w:kern w:val="0"/>
                <w:sz w:val="20"/>
                <w:lang w:eastAsia="zh-CN"/>
              </w:rPr>
            </w:pPr>
            <w:r>
              <w:rPr>
                <w:rFonts w:hint="eastAsia"/>
                <w:sz w:val="20"/>
                <w:szCs w:val="21"/>
              </w:rPr>
              <w:t>专门用途英语课</w:t>
            </w:r>
            <w:r>
              <w:rPr>
                <w:rFonts w:hint="eastAsia"/>
                <w:sz w:val="20"/>
                <w:szCs w:val="21"/>
                <w:lang w:eastAsia="zh-CN"/>
              </w:rPr>
              <w:t>（</w:t>
            </w:r>
            <w:r>
              <w:rPr>
                <w:rFonts w:hint="eastAsia"/>
                <w:sz w:val="20"/>
                <w:szCs w:val="21"/>
                <w:lang w:val="en-US" w:eastAsia="zh-CN"/>
              </w:rPr>
              <w:t>3选1</w:t>
            </w:r>
            <w:r>
              <w:rPr>
                <w:rFonts w:hint="eastAsia"/>
                <w:sz w:val="20"/>
                <w:szCs w:val="21"/>
                <w:lang w:eastAsia="zh-CN"/>
              </w:rPr>
              <w:t>）</w:t>
            </w: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G4105004-3</w:t>
            </w:r>
          </w:p>
        </w:tc>
        <w:tc>
          <w:tcPr>
            <w:tcW w:w="2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雅思（或）托福英语</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IELTS Academic</w:t>
            </w: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外国语学院</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1</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32</w:t>
            </w: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2</w:t>
            </w: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0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20"/>
              </w:rPr>
            </w:pPr>
          </w:p>
        </w:tc>
        <w:tc>
          <w:tcPr>
            <w:tcW w:w="40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rPr>
            </w:pP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G4105004-4</w:t>
            </w:r>
          </w:p>
        </w:tc>
        <w:tc>
          <w:tcPr>
            <w:tcW w:w="2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实用商务英语</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Practical Business English</w:t>
            </w: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外国语学院</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1</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32</w:t>
            </w: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2</w:t>
            </w: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20"/>
              </w:rPr>
            </w:pPr>
          </w:p>
        </w:tc>
        <w:tc>
          <w:tcPr>
            <w:tcW w:w="40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rPr>
            </w:pP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G4105004-5</w:t>
            </w:r>
          </w:p>
        </w:tc>
        <w:tc>
          <w:tcPr>
            <w:tcW w:w="2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国际学术英语</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English for Academic Studies</w:t>
            </w: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外国语学院</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1</w:t>
            </w: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32</w:t>
            </w: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2</w:t>
            </w: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eastAsia="宋体" w:cs="宋体"/>
                <w:color w:val="000000"/>
                <w:kern w:val="0"/>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9"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专</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业</w:t>
            </w:r>
            <w:r>
              <w:commentReference w:id="3"/>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必</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修</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课</w:t>
            </w:r>
          </w:p>
        </w:tc>
        <w:tc>
          <w:tcPr>
            <w:tcW w:w="409"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学科基础课</w:t>
            </w: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p>
        </w:tc>
        <w:tc>
          <w:tcPr>
            <w:tcW w:w="2444"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9" w:type="dxa"/>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p>
        </w:tc>
        <w:tc>
          <w:tcPr>
            <w:tcW w:w="409"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专业核心课</w:t>
            </w: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p>
        </w:tc>
        <w:tc>
          <w:tcPr>
            <w:tcW w:w="2444"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1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r>
              <w:rPr>
                <w:rFonts w:hint="eastAsia" w:ascii="宋体" w:hAnsi="宋体" w:cs="宋体"/>
                <w:color w:val="000000"/>
                <w:kern w:val="0"/>
                <w:sz w:val="20"/>
              </w:rPr>
              <w:t>专</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r>
              <w:rPr>
                <w:rFonts w:hint="eastAsia" w:ascii="宋体" w:hAnsi="宋体" w:cs="宋体"/>
                <w:color w:val="000000"/>
                <w:kern w:val="0"/>
                <w:sz w:val="20"/>
              </w:rPr>
              <w:t>业</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选</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修</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课</w:t>
            </w:r>
          </w:p>
        </w:tc>
        <w:tc>
          <w:tcPr>
            <w:tcW w:w="1374"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cs="宋体"/>
                <w:color w:val="000000"/>
                <w:kern w:val="0"/>
                <w:sz w:val="20"/>
              </w:rPr>
            </w:pPr>
          </w:p>
        </w:tc>
        <w:tc>
          <w:tcPr>
            <w:tcW w:w="2444"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125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546"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c>
          <w:tcPr>
            <w:tcW w:w="72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018" w:type="dxa"/>
            <w:gridSpan w:val="2"/>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ascii="宋体" w:hAnsi="宋体" w:cs="宋体"/>
                <w:color w:val="000000"/>
                <w:kern w:val="0"/>
                <w:sz w:val="20"/>
              </w:rPr>
            </w:pPr>
            <w:r>
              <w:rPr>
                <w:rFonts w:hint="eastAsia" w:ascii="宋体" w:hAnsi="宋体" w:cs="宋体"/>
                <w:color w:val="000000"/>
                <w:kern w:val="0"/>
                <w:sz w:val="20"/>
              </w:rPr>
              <w:t>公共选修课</w:t>
            </w:r>
          </w:p>
        </w:tc>
        <w:tc>
          <w:tcPr>
            <w:tcW w:w="13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2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eastAsia="zh-CN"/>
              </w:rPr>
            </w:pPr>
            <w:r>
              <w:rPr>
                <w:rFonts w:hint="eastAsia" w:ascii="宋体" w:hAnsi="宋体" w:cs="宋体"/>
                <w:color w:val="000000"/>
                <w:kern w:val="0"/>
                <w:sz w:val="20"/>
                <w:lang w:eastAsia="zh-CN"/>
              </w:rPr>
              <w:t>详见研究生院公布的公共选修课课程一览表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eastAsia="zh-CN"/>
              </w:rPr>
            </w:pPr>
          </w:p>
        </w:tc>
        <w:tc>
          <w:tcPr>
            <w:tcW w:w="12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018" w:type="dxa"/>
            <w:gridSpan w:val="2"/>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000000"/>
                <w:kern w:val="0"/>
                <w:sz w:val="20"/>
                <w:lang w:eastAsia="zh-CN"/>
              </w:rPr>
            </w:pPr>
            <w:r>
              <w:rPr>
                <w:rFonts w:hint="eastAsia" w:ascii="宋体" w:hAnsi="宋体" w:cs="宋体"/>
                <w:color w:val="000000"/>
                <w:kern w:val="0"/>
                <w:sz w:val="20"/>
                <w:lang w:eastAsia="zh-CN"/>
              </w:rPr>
              <w:t>必修环节</w:t>
            </w:r>
          </w:p>
        </w:tc>
        <w:tc>
          <w:tcPr>
            <w:tcW w:w="13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2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eastAsia="zh-CN"/>
              </w:rPr>
            </w:pPr>
          </w:p>
        </w:tc>
        <w:tc>
          <w:tcPr>
            <w:tcW w:w="12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54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36"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总计</w:t>
            </w:r>
          </w:p>
        </w:tc>
        <w:tc>
          <w:tcPr>
            <w:tcW w:w="3614" w:type="dxa"/>
            <w:gridSpan w:val="5"/>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rPr>
            </w:pPr>
            <w:r>
              <w:rPr>
                <w:rFonts w:hint="eastAsia" w:ascii="宋体" w:hAnsi="宋体" w:cs="宋体"/>
                <w:color w:val="000000"/>
                <w:kern w:val="0"/>
                <w:sz w:val="20"/>
              </w:rPr>
              <w:t>xx学分</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20" w:line="240" w:lineRule="auto"/>
        <w:jc w:val="center"/>
        <w:textAlignment w:val="auto"/>
        <w:rPr>
          <w:rFonts w:hint="eastAsia" w:ascii="宋体" w:hAnsi="宋体" w:eastAsia="宋体" w:cs="宋体"/>
          <w:b/>
          <w:bCs/>
          <w:kern w:val="44"/>
          <w:sz w:val="24"/>
          <w:szCs w:val="24"/>
          <w:lang w:val="en-US" w:eastAsia="zh-CN" w:bidi="ar"/>
        </w:rPr>
      </w:pPr>
    </w:p>
    <w:p>
      <w:pPr>
        <w:pStyle w:val="2"/>
        <w:keepNext w:val="0"/>
        <w:keepLines w:val="0"/>
        <w:pageBreakBefore w:val="0"/>
        <w:widowControl w:val="0"/>
        <w:tabs>
          <w:tab w:val="center" w:pos="1204"/>
          <w:tab w:val="left" w:pos="2897"/>
        </w:tabs>
        <w:kinsoku/>
        <w:wordWrap/>
        <w:overflowPunct/>
        <w:topLinePunct w:val="0"/>
        <w:autoSpaceDE/>
        <w:autoSpaceDN/>
        <w:bidi w:val="0"/>
        <w:adjustRightInd/>
        <w:snapToGrid/>
        <w:spacing w:before="313" w:beforeLines="100" w:beforeAutospacing="0" w:afterAutospacing="0" w:line="240" w:lineRule="auto"/>
        <w:jc w:val="center"/>
        <w:textAlignment w:val="auto"/>
        <w:rPr>
          <w:rFonts w:hint="eastAsia"/>
          <w:sz w:val="24"/>
          <w:szCs w:val="24"/>
          <w:lang w:eastAsia="zh-CN"/>
        </w:rPr>
      </w:pPr>
    </w:p>
    <w:p>
      <w:pPr>
        <w:pStyle w:val="2"/>
        <w:keepNext w:val="0"/>
        <w:keepLines w:val="0"/>
        <w:pageBreakBefore w:val="0"/>
        <w:widowControl w:val="0"/>
        <w:tabs>
          <w:tab w:val="center" w:pos="1204"/>
          <w:tab w:val="left" w:pos="2897"/>
        </w:tabs>
        <w:kinsoku/>
        <w:wordWrap/>
        <w:overflowPunct/>
        <w:topLinePunct w:val="0"/>
        <w:autoSpaceDE/>
        <w:autoSpaceDN/>
        <w:bidi w:val="0"/>
        <w:adjustRightInd/>
        <w:snapToGrid/>
        <w:spacing w:before="313" w:beforeLines="100" w:beforeAutospacing="0" w:afterAutospacing="0"/>
        <w:jc w:val="center"/>
        <w:textAlignment w:val="auto"/>
        <w:rPr>
          <w:rFonts w:hint="eastAsia"/>
          <w:lang w:val="en-US" w:eastAsia="zh-CN"/>
        </w:rPr>
      </w:pPr>
      <w:r>
        <w:rPr>
          <w:rFonts w:hint="eastAsia"/>
          <w:sz w:val="24"/>
          <w:szCs w:val="24"/>
          <w:lang w:eastAsia="zh-CN"/>
        </w:rPr>
        <w:t>专业学位研究生课程设置参考框架</w:t>
      </w:r>
    </w:p>
    <w:tbl>
      <w:tblPr>
        <w:tblStyle w:val="7"/>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409"/>
        <w:gridCol w:w="1132"/>
        <w:gridCol w:w="3082"/>
        <w:gridCol w:w="1260"/>
        <w:gridCol w:w="417"/>
        <w:gridCol w:w="491"/>
        <w:gridCol w:w="546"/>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29" w:type="dxa"/>
            <w:gridSpan w:val="2"/>
            <w:noWrap/>
            <w:vAlign w:val="center"/>
          </w:tcPr>
          <w:p>
            <w:pPr>
              <w:pStyle w:val="2"/>
              <w:widowControl/>
              <w:jc w:val="center"/>
              <w:rPr>
                <w:rFonts w:hint="eastAsia" w:ascii="宋体" w:hAnsi="宋体" w:cs="宋体"/>
                <w:color w:val="000000"/>
                <w:kern w:val="0"/>
                <w:sz w:val="20"/>
              </w:rPr>
            </w:pPr>
            <w:r>
              <w:commentReference w:id="4"/>
            </w:r>
            <w:r>
              <w:rPr>
                <w:rFonts w:hint="eastAsia" w:ascii="宋体" w:hAnsi="宋体" w:cs="宋体"/>
                <w:color w:val="000000"/>
                <w:kern w:val="0"/>
                <w:sz w:val="20"/>
              </w:rPr>
              <w:t>性质</w:t>
            </w:r>
          </w:p>
        </w:tc>
        <w:tc>
          <w:tcPr>
            <w:tcW w:w="1132" w:type="dxa"/>
            <w:noWrap/>
            <w:vAlign w:val="center"/>
          </w:tcPr>
          <w:p>
            <w:pPr>
              <w:pStyle w:val="2"/>
              <w:widowControl/>
              <w:jc w:val="center"/>
              <w:rPr>
                <w:rFonts w:hint="eastAsia" w:ascii="宋体" w:hAnsi="宋体" w:cs="宋体"/>
                <w:color w:val="000000"/>
                <w:kern w:val="0"/>
                <w:sz w:val="20"/>
              </w:rPr>
            </w:pPr>
            <w:r>
              <w:rPr>
                <w:rFonts w:hint="eastAsia" w:ascii="宋体" w:hAnsi="宋体" w:cs="宋体"/>
                <w:color w:val="000000"/>
                <w:kern w:val="0"/>
                <w:sz w:val="20"/>
              </w:rPr>
              <w:t>课程代码</w:t>
            </w:r>
          </w:p>
        </w:tc>
        <w:tc>
          <w:tcPr>
            <w:tcW w:w="3082" w:type="dxa"/>
            <w:noWrap/>
            <w:vAlign w:val="center"/>
          </w:tcPr>
          <w:p>
            <w:pPr>
              <w:pStyle w:val="2"/>
              <w:widowControl/>
              <w:jc w:val="center"/>
              <w:rPr>
                <w:rFonts w:hint="eastAsia" w:ascii="宋体" w:hAnsi="宋体" w:cs="宋体"/>
                <w:color w:val="000000"/>
                <w:kern w:val="0"/>
                <w:sz w:val="20"/>
              </w:rPr>
            </w:pPr>
            <w:r>
              <w:rPr>
                <w:rFonts w:hint="eastAsia" w:ascii="宋体" w:hAnsi="宋体" w:cs="宋体"/>
                <w:color w:val="000000"/>
                <w:kern w:val="0"/>
                <w:sz w:val="20"/>
              </w:rPr>
              <w:t>课程名称（中/英文）</w:t>
            </w:r>
          </w:p>
        </w:tc>
        <w:tc>
          <w:tcPr>
            <w:tcW w:w="1260" w:type="dxa"/>
            <w:noWrap/>
            <w:vAlign w:val="center"/>
          </w:tcPr>
          <w:p>
            <w:pPr>
              <w:pStyle w:val="2"/>
              <w:widowControl/>
              <w:jc w:val="center"/>
              <w:rPr>
                <w:rFonts w:hint="eastAsia" w:ascii="宋体" w:hAnsi="宋体" w:cs="宋体"/>
                <w:color w:val="000000"/>
                <w:kern w:val="0"/>
                <w:sz w:val="20"/>
              </w:rPr>
            </w:pPr>
            <w:r>
              <w:rPr>
                <w:rFonts w:hint="eastAsia" w:ascii="宋体" w:hAnsi="宋体" w:cs="宋体"/>
                <w:color w:val="000000"/>
                <w:kern w:val="0"/>
                <w:sz w:val="20"/>
              </w:rPr>
              <w:t>开课单位</w:t>
            </w:r>
          </w:p>
        </w:tc>
        <w:tc>
          <w:tcPr>
            <w:tcW w:w="417" w:type="dxa"/>
            <w:noWrap/>
            <w:vAlign w:val="center"/>
          </w:tcPr>
          <w:p>
            <w:pPr>
              <w:pStyle w:val="2"/>
              <w:widowControl/>
              <w:jc w:val="center"/>
              <w:rPr>
                <w:rFonts w:hint="eastAsia" w:ascii="宋体" w:hAnsi="宋体" w:cs="宋体"/>
                <w:color w:val="000000"/>
                <w:kern w:val="0"/>
                <w:sz w:val="20"/>
              </w:rPr>
            </w:pPr>
            <w:r>
              <w:rPr>
                <w:rFonts w:hint="eastAsia" w:ascii="宋体" w:hAnsi="宋体" w:cs="宋体"/>
                <w:color w:val="000000"/>
                <w:kern w:val="0"/>
                <w:sz w:val="20"/>
              </w:rPr>
              <w:t>学分</w:t>
            </w:r>
          </w:p>
        </w:tc>
        <w:tc>
          <w:tcPr>
            <w:tcW w:w="491" w:type="dxa"/>
            <w:noWrap/>
            <w:vAlign w:val="center"/>
          </w:tcPr>
          <w:p>
            <w:pPr>
              <w:pStyle w:val="2"/>
              <w:widowControl/>
              <w:jc w:val="center"/>
              <w:rPr>
                <w:rFonts w:hint="eastAsia" w:ascii="宋体" w:hAnsi="宋体" w:cs="宋体"/>
                <w:color w:val="000000"/>
                <w:kern w:val="0"/>
                <w:sz w:val="20"/>
              </w:rPr>
            </w:pPr>
            <w:r>
              <w:rPr>
                <w:rFonts w:hint="eastAsia" w:ascii="宋体" w:hAnsi="宋体" w:cs="宋体"/>
                <w:color w:val="000000"/>
                <w:kern w:val="0"/>
                <w:sz w:val="20"/>
              </w:rPr>
              <w:t>学时</w:t>
            </w:r>
          </w:p>
        </w:tc>
        <w:tc>
          <w:tcPr>
            <w:tcW w:w="546" w:type="dxa"/>
            <w:noWrap/>
            <w:vAlign w:val="center"/>
          </w:tcPr>
          <w:p>
            <w:pPr>
              <w:pStyle w:val="2"/>
              <w:widowControl/>
              <w:jc w:val="center"/>
              <w:rPr>
                <w:rFonts w:hint="eastAsia" w:ascii="宋体" w:hAnsi="宋体" w:cs="宋体"/>
                <w:color w:val="000000"/>
                <w:kern w:val="0"/>
                <w:sz w:val="20"/>
              </w:rPr>
            </w:pPr>
            <w:r>
              <w:rPr>
                <w:rFonts w:hint="eastAsia" w:ascii="宋体" w:hAnsi="宋体" w:cs="宋体"/>
                <w:color w:val="000000"/>
                <w:kern w:val="0"/>
                <w:sz w:val="20"/>
              </w:rPr>
              <w:t>学期</w:t>
            </w:r>
          </w:p>
        </w:tc>
        <w:tc>
          <w:tcPr>
            <w:tcW w:w="695" w:type="dxa"/>
            <w:noWrap/>
            <w:vAlign w:val="center"/>
          </w:tcPr>
          <w:p>
            <w:pPr>
              <w:pStyle w:val="2"/>
              <w:widowControl/>
              <w:jc w:val="center"/>
              <w:rPr>
                <w:rFonts w:hint="eastAsia" w:ascii="宋体" w:hAnsi="宋体" w:cs="宋体"/>
                <w:color w:val="000000"/>
                <w:kern w:val="0"/>
                <w:sz w:val="20"/>
              </w:rPr>
            </w:pPr>
            <w:r>
              <w:rPr>
                <w:rFonts w:hint="eastAsia" w:ascii="宋体" w:hAnsi="宋体" w:cs="宋体"/>
                <w:color w:val="000000"/>
                <w:kern w:val="0"/>
                <w:sz w:val="20"/>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9" w:type="dxa"/>
            <w:gridSpan w:val="2"/>
            <w:vMerge w:val="restart"/>
            <w:noWrap/>
            <w:textDirection w:val="tbRlV"/>
            <w:vAlign w:val="center"/>
          </w:tcPr>
          <w:p>
            <w:pPr>
              <w:widowControl/>
              <w:ind w:left="113" w:right="113"/>
              <w:jc w:val="center"/>
              <w:rPr>
                <w:rFonts w:hint="eastAsia" w:ascii="宋体" w:hAnsi="宋体" w:cs="宋体"/>
                <w:color w:val="000000"/>
                <w:kern w:val="0"/>
                <w:sz w:val="20"/>
              </w:rPr>
            </w:pPr>
            <w:r>
              <w:rPr>
                <w:rFonts w:hint="eastAsia" w:ascii="宋体" w:hAnsi="宋体" w:cs="宋体"/>
                <w:color w:val="000000"/>
                <w:kern w:val="0"/>
                <w:sz w:val="20"/>
              </w:rPr>
              <w:t>公共必修课</w:t>
            </w:r>
          </w:p>
        </w:tc>
        <w:tc>
          <w:tcPr>
            <w:tcW w:w="1132"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G2205001</w:t>
            </w:r>
          </w:p>
        </w:tc>
        <w:tc>
          <w:tcPr>
            <w:tcW w:w="3082" w:type="dxa"/>
            <w:noWrap w:val="0"/>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新时代中国特色社会主义理论与实践</w:t>
            </w:r>
          </w:p>
          <w:p>
            <w:pPr>
              <w:widowControl/>
              <w:jc w:val="center"/>
              <w:rPr>
                <w:rFonts w:hint="eastAsia" w:ascii="宋体" w:hAnsi="宋体" w:cs="宋体"/>
                <w:color w:val="000000"/>
                <w:kern w:val="0"/>
                <w:sz w:val="20"/>
              </w:rPr>
            </w:pPr>
            <w:r>
              <w:rPr>
                <w:rFonts w:hint="eastAsia" w:ascii="宋体" w:hAnsi="宋体" w:cs="宋体"/>
                <w:color w:val="000000"/>
                <w:kern w:val="0"/>
                <w:sz w:val="20"/>
              </w:rPr>
              <w:t>The Theory and Practice of Socialism with Chinese Characteristics in New Era</w:t>
            </w:r>
          </w:p>
        </w:tc>
        <w:tc>
          <w:tcPr>
            <w:tcW w:w="1260"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马克思主义学院</w:t>
            </w:r>
          </w:p>
        </w:tc>
        <w:tc>
          <w:tcPr>
            <w:tcW w:w="417"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491"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32</w:t>
            </w:r>
          </w:p>
        </w:tc>
        <w:tc>
          <w:tcPr>
            <w:tcW w:w="546"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w:t>
            </w:r>
          </w:p>
        </w:tc>
        <w:tc>
          <w:tcPr>
            <w:tcW w:w="695"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29" w:type="dxa"/>
            <w:gridSpan w:val="2"/>
            <w:vMerge w:val="continue"/>
            <w:noWrap w:val="0"/>
            <w:textDirection w:val="tbRlV"/>
            <w:vAlign w:val="center"/>
          </w:tcPr>
          <w:p>
            <w:pPr>
              <w:widowControl/>
              <w:ind w:left="113" w:right="113"/>
              <w:jc w:val="center"/>
              <w:rPr>
                <w:rFonts w:ascii="宋体" w:hAnsi="宋体" w:cs="宋体"/>
                <w:color w:val="000000"/>
                <w:kern w:val="0"/>
                <w:sz w:val="20"/>
              </w:rPr>
            </w:pPr>
          </w:p>
        </w:tc>
        <w:tc>
          <w:tcPr>
            <w:tcW w:w="1132"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G2205002</w:t>
            </w:r>
          </w:p>
        </w:tc>
        <w:tc>
          <w:tcPr>
            <w:tcW w:w="3082" w:type="dxa"/>
            <w:noWrap w:val="0"/>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自然辩证法概论</w:t>
            </w:r>
          </w:p>
          <w:p>
            <w:pPr>
              <w:widowControl/>
              <w:jc w:val="center"/>
              <w:rPr>
                <w:rFonts w:hint="eastAsia" w:ascii="宋体" w:hAnsi="宋体" w:cs="宋体"/>
                <w:color w:val="000000"/>
                <w:kern w:val="0"/>
                <w:sz w:val="20"/>
              </w:rPr>
            </w:pPr>
            <w:r>
              <w:rPr>
                <w:rFonts w:hint="eastAsia" w:ascii="宋体" w:hAnsi="宋体" w:cs="宋体"/>
                <w:color w:val="000000"/>
                <w:kern w:val="0"/>
                <w:sz w:val="20"/>
              </w:rPr>
              <w:t>Introduction to Dialectics of Nature</w:t>
            </w:r>
          </w:p>
        </w:tc>
        <w:tc>
          <w:tcPr>
            <w:tcW w:w="1260"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马克思主义学院</w:t>
            </w:r>
          </w:p>
        </w:tc>
        <w:tc>
          <w:tcPr>
            <w:tcW w:w="417"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491"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16</w:t>
            </w:r>
          </w:p>
        </w:tc>
        <w:tc>
          <w:tcPr>
            <w:tcW w:w="546"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w:t>
            </w:r>
          </w:p>
        </w:tc>
        <w:tc>
          <w:tcPr>
            <w:tcW w:w="695"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29" w:type="dxa"/>
            <w:gridSpan w:val="2"/>
            <w:vMerge w:val="continue"/>
            <w:noWrap w:val="0"/>
            <w:textDirection w:val="tbRlV"/>
            <w:vAlign w:val="center"/>
          </w:tcPr>
          <w:p>
            <w:pPr>
              <w:widowControl/>
              <w:ind w:left="113" w:right="113"/>
              <w:jc w:val="center"/>
              <w:rPr>
                <w:rFonts w:ascii="宋体" w:hAnsi="宋体" w:cs="宋体"/>
                <w:color w:val="000000"/>
                <w:kern w:val="0"/>
                <w:sz w:val="20"/>
              </w:rPr>
            </w:pPr>
          </w:p>
        </w:tc>
        <w:tc>
          <w:tcPr>
            <w:tcW w:w="1132"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G2205003</w:t>
            </w:r>
          </w:p>
        </w:tc>
        <w:tc>
          <w:tcPr>
            <w:tcW w:w="3082" w:type="dxa"/>
            <w:noWrap w:val="0"/>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马克思主义与社会科学方法论</w:t>
            </w:r>
          </w:p>
          <w:p>
            <w:pPr>
              <w:widowControl/>
              <w:jc w:val="center"/>
              <w:rPr>
                <w:rFonts w:hint="eastAsia" w:ascii="宋体" w:hAnsi="宋体" w:cs="宋体"/>
                <w:color w:val="000000"/>
                <w:kern w:val="0"/>
                <w:sz w:val="20"/>
              </w:rPr>
            </w:pPr>
            <w:r>
              <w:rPr>
                <w:rFonts w:hint="eastAsia" w:ascii="宋体" w:hAnsi="宋体" w:cs="宋体"/>
                <w:color w:val="000000"/>
                <w:kern w:val="0"/>
                <w:sz w:val="20"/>
              </w:rPr>
              <w:t>Marxism and Social Science Methodology</w:t>
            </w:r>
          </w:p>
        </w:tc>
        <w:tc>
          <w:tcPr>
            <w:tcW w:w="1260"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马克思主义学院</w:t>
            </w:r>
          </w:p>
        </w:tc>
        <w:tc>
          <w:tcPr>
            <w:tcW w:w="417"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491"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16</w:t>
            </w:r>
          </w:p>
        </w:tc>
        <w:tc>
          <w:tcPr>
            <w:tcW w:w="546"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w:t>
            </w:r>
          </w:p>
        </w:tc>
        <w:tc>
          <w:tcPr>
            <w:tcW w:w="695" w:type="dxa"/>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20" w:type="dxa"/>
            <w:vMerge w:val="restart"/>
            <w:noWrap/>
            <w:textDirection w:val="tbRlV"/>
            <w:vAlign w:val="center"/>
          </w:tcPr>
          <w:p>
            <w:pPr>
              <w:widowControl/>
              <w:ind w:left="113" w:right="113"/>
              <w:jc w:val="center"/>
              <w:rPr>
                <w:rFonts w:hint="eastAsia" w:ascii="宋体" w:hAnsi="宋体" w:cs="宋体"/>
                <w:color w:val="000000"/>
                <w:kern w:val="0"/>
                <w:sz w:val="20"/>
              </w:rPr>
            </w:pPr>
            <w:r>
              <w:rPr>
                <w:rFonts w:hint="eastAsia" w:ascii="宋体" w:hAnsi="宋体" w:cs="宋体"/>
                <w:color w:val="000000"/>
                <w:kern w:val="0"/>
                <w:sz w:val="20"/>
              </w:rPr>
              <w:t>专业必修课</w:t>
            </w:r>
          </w:p>
        </w:tc>
        <w:tc>
          <w:tcPr>
            <w:tcW w:w="409" w:type="dxa"/>
            <w:noWrap/>
            <w:textDirection w:val="tbRlV"/>
            <w:vAlign w:val="center"/>
          </w:tcPr>
          <w:p>
            <w:pPr>
              <w:widowControl/>
              <w:ind w:left="113" w:right="113"/>
              <w:jc w:val="center"/>
              <w:rPr>
                <w:rFonts w:hint="eastAsia" w:ascii="宋体" w:hAnsi="宋体" w:cs="宋体"/>
                <w:color w:val="000000"/>
                <w:kern w:val="0"/>
                <w:sz w:val="20"/>
              </w:rPr>
            </w:pPr>
            <w:r>
              <w:rPr>
                <w:rFonts w:hint="eastAsia" w:ascii="宋体" w:hAnsi="宋体" w:cs="宋体"/>
                <w:color w:val="000000"/>
                <w:kern w:val="0"/>
                <w:sz w:val="20"/>
              </w:rPr>
              <w:t>xx方向</w:t>
            </w:r>
            <w:r>
              <w:commentReference w:id="5"/>
            </w:r>
          </w:p>
        </w:tc>
        <w:tc>
          <w:tcPr>
            <w:tcW w:w="1132" w:type="dxa"/>
            <w:noWrap/>
            <w:vAlign w:val="center"/>
          </w:tcPr>
          <w:p>
            <w:pPr>
              <w:widowControl/>
              <w:jc w:val="center"/>
              <w:rPr>
                <w:rFonts w:hint="eastAsia" w:ascii="宋体" w:hAnsi="宋体" w:cs="宋体"/>
                <w:color w:val="000000"/>
                <w:kern w:val="0"/>
                <w:sz w:val="20"/>
              </w:rPr>
            </w:pPr>
          </w:p>
        </w:tc>
        <w:tc>
          <w:tcPr>
            <w:tcW w:w="3082" w:type="dxa"/>
            <w:noWrap/>
            <w:vAlign w:val="center"/>
          </w:tcPr>
          <w:p>
            <w:pPr>
              <w:widowControl/>
              <w:jc w:val="center"/>
              <w:rPr>
                <w:rFonts w:eastAsia="Times New Roman"/>
                <w:kern w:val="0"/>
                <w:sz w:val="20"/>
              </w:rPr>
            </w:pPr>
          </w:p>
        </w:tc>
        <w:tc>
          <w:tcPr>
            <w:tcW w:w="1260" w:type="dxa"/>
            <w:noWrap/>
            <w:vAlign w:val="center"/>
          </w:tcPr>
          <w:p>
            <w:pPr>
              <w:widowControl/>
              <w:jc w:val="center"/>
              <w:rPr>
                <w:rFonts w:eastAsia="Times New Roman"/>
                <w:kern w:val="0"/>
                <w:sz w:val="20"/>
              </w:rPr>
            </w:pPr>
          </w:p>
        </w:tc>
        <w:tc>
          <w:tcPr>
            <w:tcW w:w="417" w:type="dxa"/>
            <w:noWrap/>
            <w:vAlign w:val="center"/>
          </w:tcPr>
          <w:p>
            <w:pPr>
              <w:widowControl/>
              <w:jc w:val="center"/>
              <w:rPr>
                <w:rFonts w:eastAsia="Times New Roman"/>
                <w:kern w:val="0"/>
                <w:sz w:val="20"/>
              </w:rPr>
            </w:pPr>
          </w:p>
        </w:tc>
        <w:tc>
          <w:tcPr>
            <w:tcW w:w="491" w:type="dxa"/>
            <w:noWrap/>
            <w:vAlign w:val="center"/>
          </w:tcPr>
          <w:p>
            <w:pPr>
              <w:widowControl/>
              <w:jc w:val="center"/>
              <w:rPr>
                <w:rFonts w:eastAsia="Times New Roman"/>
                <w:kern w:val="0"/>
                <w:sz w:val="20"/>
              </w:rPr>
            </w:pPr>
          </w:p>
        </w:tc>
        <w:tc>
          <w:tcPr>
            <w:tcW w:w="546" w:type="dxa"/>
            <w:noWrap/>
            <w:vAlign w:val="center"/>
          </w:tcPr>
          <w:p>
            <w:pPr>
              <w:widowControl/>
              <w:jc w:val="center"/>
              <w:rPr>
                <w:rFonts w:eastAsia="Times New Roman"/>
                <w:kern w:val="0"/>
                <w:sz w:val="20"/>
              </w:rPr>
            </w:pPr>
          </w:p>
        </w:tc>
        <w:tc>
          <w:tcPr>
            <w:tcW w:w="695" w:type="dxa"/>
            <w:noWrap/>
            <w:vAlign w:val="center"/>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20" w:type="dxa"/>
            <w:vMerge w:val="continue"/>
            <w:noWrap w:val="0"/>
            <w:textDirection w:val="tbRlV"/>
            <w:vAlign w:val="center"/>
          </w:tcPr>
          <w:p>
            <w:pPr>
              <w:widowControl/>
              <w:ind w:left="113" w:right="113"/>
              <w:jc w:val="center"/>
              <w:rPr>
                <w:rFonts w:ascii="宋体" w:hAnsi="宋体" w:cs="宋体"/>
                <w:color w:val="000000"/>
                <w:kern w:val="0"/>
                <w:sz w:val="20"/>
              </w:rPr>
            </w:pPr>
          </w:p>
        </w:tc>
        <w:tc>
          <w:tcPr>
            <w:tcW w:w="409" w:type="dxa"/>
            <w:noWrap/>
            <w:textDirection w:val="tbRlV"/>
            <w:vAlign w:val="center"/>
          </w:tcPr>
          <w:p>
            <w:pPr>
              <w:widowControl/>
              <w:ind w:left="113" w:right="113"/>
              <w:jc w:val="center"/>
              <w:rPr>
                <w:rFonts w:eastAsia="Times New Roman"/>
                <w:kern w:val="0"/>
                <w:sz w:val="20"/>
              </w:rPr>
            </w:pPr>
          </w:p>
        </w:tc>
        <w:tc>
          <w:tcPr>
            <w:tcW w:w="1132" w:type="dxa"/>
            <w:noWrap w:val="0"/>
            <w:vAlign w:val="center"/>
          </w:tcPr>
          <w:p>
            <w:pPr>
              <w:widowControl/>
              <w:jc w:val="center"/>
              <w:rPr>
                <w:rFonts w:eastAsia="Times New Roman"/>
                <w:kern w:val="0"/>
                <w:sz w:val="20"/>
              </w:rPr>
            </w:pPr>
          </w:p>
        </w:tc>
        <w:tc>
          <w:tcPr>
            <w:tcW w:w="3082" w:type="dxa"/>
            <w:noWrap w:val="0"/>
            <w:vAlign w:val="center"/>
          </w:tcPr>
          <w:p>
            <w:pPr>
              <w:widowControl/>
              <w:jc w:val="center"/>
              <w:rPr>
                <w:rFonts w:eastAsia="Times New Roman"/>
                <w:kern w:val="0"/>
                <w:sz w:val="20"/>
              </w:rPr>
            </w:pPr>
          </w:p>
        </w:tc>
        <w:tc>
          <w:tcPr>
            <w:tcW w:w="1260" w:type="dxa"/>
            <w:noWrap w:val="0"/>
            <w:vAlign w:val="center"/>
          </w:tcPr>
          <w:p>
            <w:pPr>
              <w:widowControl/>
              <w:jc w:val="center"/>
              <w:rPr>
                <w:rFonts w:eastAsia="Times New Roman"/>
                <w:kern w:val="0"/>
                <w:sz w:val="20"/>
              </w:rPr>
            </w:pPr>
          </w:p>
        </w:tc>
        <w:tc>
          <w:tcPr>
            <w:tcW w:w="417" w:type="dxa"/>
            <w:noWrap w:val="0"/>
            <w:vAlign w:val="center"/>
          </w:tcPr>
          <w:p>
            <w:pPr>
              <w:widowControl/>
              <w:jc w:val="center"/>
              <w:rPr>
                <w:rFonts w:eastAsia="Times New Roman"/>
                <w:kern w:val="0"/>
                <w:sz w:val="20"/>
              </w:rPr>
            </w:pPr>
          </w:p>
        </w:tc>
        <w:tc>
          <w:tcPr>
            <w:tcW w:w="491" w:type="dxa"/>
            <w:noWrap w:val="0"/>
            <w:vAlign w:val="center"/>
          </w:tcPr>
          <w:p>
            <w:pPr>
              <w:widowControl/>
              <w:jc w:val="center"/>
              <w:rPr>
                <w:rFonts w:eastAsia="Times New Roman"/>
                <w:kern w:val="0"/>
                <w:sz w:val="20"/>
              </w:rPr>
            </w:pPr>
          </w:p>
        </w:tc>
        <w:tc>
          <w:tcPr>
            <w:tcW w:w="546" w:type="dxa"/>
            <w:noWrap w:val="0"/>
            <w:vAlign w:val="center"/>
          </w:tcPr>
          <w:p>
            <w:pPr>
              <w:widowControl/>
              <w:jc w:val="center"/>
              <w:rPr>
                <w:rFonts w:eastAsia="Times New Roman"/>
                <w:kern w:val="0"/>
                <w:sz w:val="20"/>
              </w:rPr>
            </w:pPr>
          </w:p>
        </w:tc>
        <w:tc>
          <w:tcPr>
            <w:tcW w:w="695" w:type="dxa"/>
            <w:noWrap w:val="0"/>
            <w:vAlign w:val="center"/>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20" w:type="dxa"/>
            <w:vMerge w:val="restart"/>
            <w:noWrap/>
            <w:textDirection w:val="tbRlV"/>
            <w:vAlign w:val="center"/>
          </w:tcPr>
          <w:p>
            <w:pPr>
              <w:widowControl/>
              <w:ind w:left="113" w:right="113"/>
              <w:jc w:val="center"/>
              <w:rPr>
                <w:rFonts w:ascii="宋体" w:hAnsi="宋体" w:cs="宋体"/>
                <w:color w:val="000000"/>
                <w:kern w:val="0"/>
                <w:sz w:val="20"/>
              </w:rPr>
            </w:pPr>
            <w:r>
              <w:rPr>
                <w:rFonts w:hint="eastAsia" w:ascii="宋体" w:hAnsi="宋体" w:cs="宋体"/>
                <w:color w:val="000000"/>
                <w:kern w:val="0"/>
                <w:sz w:val="20"/>
              </w:rPr>
              <w:t>专业选修课</w:t>
            </w:r>
          </w:p>
        </w:tc>
        <w:tc>
          <w:tcPr>
            <w:tcW w:w="409" w:type="dxa"/>
            <w:noWrap/>
            <w:textDirection w:val="tbRlV"/>
            <w:vAlign w:val="center"/>
          </w:tcPr>
          <w:p>
            <w:pPr>
              <w:widowControl/>
              <w:ind w:left="113" w:right="113"/>
              <w:jc w:val="center"/>
              <w:rPr>
                <w:rFonts w:hint="eastAsia" w:ascii="宋体" w:hAnsi="宋体" w:cs="宋体"/>
                <w:color w:val="000000"/>
                <w:kern w:val="0"/>
                <w:sz w:val="20"/>
              </w:rPr>
            </w:pPr>
            <w:r>
              <w:rPr>
                <w:rFonts w:hint="eastAsia" w:ascii="宋体" w:hAnsi="宋体" w:cs="宋体"/>
                <w:color w:val="000000"/>
                <w:kern w:val="0"/>
                <w:sz w:val="20"/>
              </w:rPr>
              <w:t>xx方向</w:t>
            </w:r>
          </w:p>
        </w:tc>
        <w:tc>
          <w:tcPr>
            <w:tcW w:w="1132" w:type="dxa"/>
            <w:noWrap/>
            <w:vAlign w:val="center"/>
          </w:tcPr>
          <w:p>
            <w:pPr>
              <w:widowControl/>
              <w:jc w:val="center"/>
              <w:rPr>
                <w:rFonts w:hint="eastAsia" w:ascii="宋体" w:hAnsi="宋体" w:cs="宋体"/>
                <w:color w:val="000000"/>
                <w:kern w:val="0"/>
                <w:sz w:val="20"/>
              </w:rPr>
            </w:pPr>
          </w:p>
        </w:tc>
        <w:tc>
          <w:tcPr>
            <w:tcW w:w="3082" w:type="dxa"/>
            <w:noWrap/>
            <w:vAlign w:val="center"/>
          </w:tcPr>
          <w:p>
            <w:pPr>
              <w:widowControl/>
              <w:jc w:val="center"/>
              <w:rPr>
                <w:rFonts w:eastAsia="Times New Roman"/>
                <w:kern w:val="0"/>
                <w:sz w:val="20"/>
              </w:rPr>
            </w:pPr>
          </w:p>
        </w:tc>
        <w:tc>
          <w:tcPr>
            <w:tcW w:w="1260" w:type="dxa"/>
            <w:noWrap/>
            <w:vAlign w:val="center"/>
          </w:tcPr>
          <w:p>
            <w:pPr>
              <w:widowControl/>
              <w:jc w:val="center"/>
              <w:rPr>
                <w:rFonts w:eastAsia="Times New Roman"/>
                <w:kern w:val="0"/>
                <w:sz w:val="20"/>
              </w:rPr>
            </w:pPr>
          </w:p>
        </w:tc>
        <w:tc>
          <w:tcPr>
            <w:tcW w:w="417" w:type="dxa"/>
            <w:noWrap/>
            <w:vAlign w:val="center"/>
          </w:tcPr>
          <w:p>
            <w:pPr>
              <w:widowControl/>
              <w:jc w:val="center"/>
              <w:rPr>
                <w:rFonts w:eastAsia="Times New Roman"/>
                <w:kern w:val="0"/>
                <w:sz w:val="20"/>
              </w:rPr>
            </w:pPr>
          </w:p>
        </w:tc>
        <w:tc>
          <w:tcPr>
            <w:tcW w:w="491" w:type="dxa"/>
            <w:noWrap/>
            <w:vAlign w:val="center"/>
          </w:tcPr>
          <w:p>
            <w:pPr>
              <w:widowControl/>
              <w:jc w:val="center"/>
              <w:rPr>
                <w:rFonts w:eastAsia="Times New Roman"/>
                <w:kern w:val="0"/>
                <w:sz w:val="20"/>
              </w:rPr>
            </w:pPr>
          </w:p>
        </w:tc>
        <w:tc>
          <w:tcPr>
            <w:tcW w:w="546" w:type="dxa"/>
            <w:noWrap/>
            <w:vAlign w:val="center"/>
          </w:tcPr>
          <w:p>
            <w:pPr>
              <w:widowControl/>
              <w:jc w:val="center"/>
              <w:rPr>
                <w:rFonts w:eastAsia="Times New Roman"/>
                <w:kern w:val="0"/>
                <w:sz w:val="20"/>
              </w:rPr>
            </w:pPr>
          </w:p>
        </w:tc>
        <w:tc>
          <w:tcPr>
            <w:tcW w:w="695" w:type="dxa"/>
            <w:noWrap/>
            <w:vAlign w:val="center"/>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20" w:type="dxa"/>
            <w:vMerge w:val="continue"/>
            <w:noWrap w:val="0"/>
            <w:textDirection w:val="tbRlV"/>
            <w:vAlign w:val="center"/>
          </w:tcPr>
          <w:p>
            <w:pPr>
              <w:widowControl/>
              <w:ind w:left="113" w:right="113"/>
              <w:jc w:val="center"/>
              <w:rPr>
                <w:rFonts w:ascii="宋体" w:hAnsi="宋体" w:cs="宋体"/>
                <w:color w:val="000000"/>
                <w:kern w:val="0"/>
                <w:sz w:val="20"/>
              </w:rPr>
            </w:pPr>
          </w:p>
        </w:tc>
        <w:tc>
          <w:tcPr>
            <w:tcW w:w="409" w:type="dxa"/>
            <w:noWrap/>
            <w:textDirection w:val="tbRlV"/>
            <w:vAlign w:val="center"/>
          </w:tcPr>
          <w:p>
            <w:pPr>
              <w:widowControl/>
              <w:ind w:left="113" w:right="113"/>
              <w:jc w:val="center"/>
              <w:rPr>
                <w:rFonts w:eastAsia="Times New Roman"/>
                <w:kern w:val="0"/>
                <w:sz w:val="20"/>
              </w:rPr>
            </w:pPr>
          </w:p>
        </w:tc>
        <w:tc>
          <w:tcPr>
            <w:tcW w:w="1132" w:type="dxa"/>
            <w:noWrap w:val="0"/>
            <w:vAlign w:val="center"/>
          </w:tcPr>
          <w:p>
            <w:pPr>
              <w:widowControl/>
              <w:jc w:val="center"/>
              <w:rPr>
                <w:rFonts w:eastAsia="Times New Roman"/>
                <w:kern w:val="0"/>
                <w:sz w:val="20"/>
              </w:rPr>
            </w:pPr>
          </w:p>
        </w:tc>
        <w:tc>
          <w:tcPr>
            <w:tcW w:w="3082" w:type="dxa"/>
            <w:noWrap w:val="0"/>
            <w:vAlign w:val="center"/>
          </w:tcPr>
          <w:p>
            <w:pPr>
              <w:widowControl/>
              <w:jc w:val="center"/>
              <w:rPr>
                <w:rFonts w:eastAsia="Times New Roman"/>
                <w:kern w:val="0"/>
                <w:sz w:val="20"/>
              </w:rPr>
            </w:pPr>
          </w:p>
        </w:tc>
        <w:tc>
          <w:tcPr>
            <w:tcW w:w="1260" w:type="dxa"/>
            <w:noWrap w:val="0"/>
            <w:vAlign w:val="center"/>
          </w:tcPr>
          <w:p>
            <w:pPr>
              <w:widowControl/>
              <w:jc w:val="center"/>
              <w:rPr>
                <w:rFonts w:eastAsia="Times New Roman"/>
                <w:kern w:val="0"/>
                <w:sz w:val="20"/>
              </w:rPr>
            </w:pPr>
          </w:p>
        </w:tc>
        <w:tc>
          <w:tcPr>
            <w:tcW w:w="417" w:type="dxa"/>
            <w:noWrap w:val="0"/>
            <w:vAlign w:val="center"/>
          </w:tcPr>
          <w:p>
            <w:pPr>
              <w:widowControl/>
              <w:jc w:val="center"/>
              <w:rPr>
                <w:rFonts w:eastAsia="Times New Roman"/>
                <w:kern w:val="0"/>
                <w:sz w:val="20"/>
              </w:rPr>
            </w:pPr>
          </w:p>
        </w:tc>
        <w:tc>
          <w:tcPr>
            <w:tcW w:w="491" w:type="dxa"/>
            <w:noWrap w:val="0"/>
            <w:vAlign w:val="center"/>
          </w:tcPr>
          <w:p>
            <w:pPr>
              <w:widowControl/>
              <w:jc w:val="center"/>
              <w:rPr>
                <w:rFonts w:eastAsia="Times New Roman"/>
                <w:kern w:val="0"/>
                <w:sz w:val="20"/>
              </w:rPr>
            </w:pPr>
          </w:p>
        </w:tc>
        <w:tc>
          <w:tcPr>
            <w:tcW w:w="546" w:type="dxa"/>
            <w:noWrap w:val="0"/>
            <w:vAlign w:val="center"/>
          </w:tcPr>
          <w:p>
            <w:pPr>
              <w:widowControl/>
              <w:jc w:val="center"/>
              <w:rPr>
                <w:rFonts w:eastAsia="Times New Roman"/>
                <w:kern w:val="0"/>
                <w:sz w:val="20"/>
              </w:rPr>
            </w:pPr>
          </w:p>
        </w:tc>
        <w:tc>
          <w:tcPr>
            <w:tcW w:w="695" w:type="dxa"/>
            <w:noWrap w:val="0"/>
            <w:vAlign w:val="center"/>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29" w:type="dxa"/>
            <w:gridSpan w:val="2"/>
            <w:noWrap w:val="0"/>
            <w:textDirection w:val="tbRlV"/>
            <w:vAlign w:val="center"/>
          </w:tcPr>
          <w:p>
            <w:pPr>
              <w:widowControl/>
              <w:ind w:left="113" w:right="113"/>
              <w:jc w:val="center"/>
              <w:rPr>
                <w:rFonts w:eastAsia="Times New Roman"/>
                <w:kern w:val="0"/>
                <w:sz w:val="20"/>
              </w:rPr>
            </w:pPr>
            <w:r>
              <w:rPr>
                <w:rFonts w:hint="eastAsia" w:ascii="宋体" w:hAnsi="宋体" w:cs="宋体"/>
                <w:color w:val="000000"/>
                <w:kern w:val="0"/>
                <w:sz w:val="20"/>
                <w:lang w:eastAsia="zh-CN"/>
              </w:rPr>
              <w:t>必修环节</w:t>
            </w:r>
          </w:p>
        </w:tc>
        <w:tc>
          <w:tcPr>
            <w:tcW w:w="1132" w:type="dxa"/>
            <w:noWrap w:val="0"/>
            <w:vAlign w:val="center"/>
          </w:tcPr>
          <w:p>
            <w:pPr>
              <w:widowControl/>
              <w:jc w:val="center"/>
              <w:rPr>
                <w:rFonts w:eastAsia="Times New Roman"/>
                <w:kern w:val="0"/>
                <w:sz w:val="20"/>
              </w:rPr>
            </w:pPr>
          </w:p>
        </w:tc>
        <w:tc>
          <w:tcPr>
            <w:tcW w:w="3082" w:type="dxa"/>
            <w:noWrap w:val="0"/>
            <w:vAlign w:val="center"/>
          </w:tcPr>
          <w:p>
            <w:pPr>
              <w:widowControl/>
              <w:jc w:val="center"/>
              <w:rPr>
                <w:rFonts w:eastAsia="Times New Roman"/>
                <w:kern w:val="0"/>
                <w:sz w:val="20"/>
              </w:rPr>
            </w:pPr>
          </w:p>
        </w:tc>
        <w:tc>
          <w:tcPr>
            <w:tcW w:w="1260" w:type="dxa"/>
            <w:noWrap w:val="0"/>
            <w:vAlign w:val="center"/>
          </w:tcPr>
          <w:p>
            <w:pPr>
              <w:widowControl/>
              <w:jc w:val="center"/>
              <w:rPr>
                <w:rFonts w:eastAsia="Times New Roman"/>
                <w:kern w:val="0"/>
                <w:sz w:val="20"/>
              </w:rPr>
            </w:pPr>
          </w:p>
        </w:tc>
        <w:tc>
          <w:tcPr>
            <w:tcW w:w="417" w:type="dxa"/>
            <w:noWrap w:val="0"/>
            <w:vAlign w:val="center"/>
          </w:tcPr>
          <w:p>
            <w:pPr>
              <w:widowControl/>
              <w:jc w:val="center"/>
              <w:rPr>
                <w:rFonts w:eastAsia="Times New Roman"/>
                <w:kern w:val="0"/>
                <w:sz w:val="20"/>
              </w:rPr>
            </w:pPr>
          </w:p>
        </w:tc>
        <w:tc>
          <w:tcPr>
            <w:tcW w:w="491" w:type="dxa"/>
            <w:noWrap w:val="0"/>
            <w:vAlign w:val="center"/>
          </w:tcPr>
          <w:p>
            <w:pPr>
              <w:widowControl/>
              <w:jc w:val="center"/>
              <w:rPr>
                <w:rFonts w:eastAsia="Times New Roman"/>
                <w:kern w:val="0"/>
                <w:sz w:val="20"/>
              </w:rPr>
            </w:pPr>
          </w:p>
        </w:tc>
        <w:tc>
          <w:tcPr>
            <w:tcW w:w="546" w:type="dxa"/>
            <w:noWrap w:val="0"/>
            <w:vAlign w:val="center"/>
          </w:tcPr>
          <w:p>
            <w:pPr>
              <w:widowControl/>
              <w:jc w:val="center"/>
              <w:rPr>
                <w:rFonts w:eastAsia="Times New Roman"/>
                <w:kern w:val="0"/>
                <w:sz w:val="20"/>
              </w:rPr>
            </w:pPr>
          </w:p>
        </w:tc>
        <w:tc>
          <w:tcPr>
            <w:tcW w:w="695" w:type="dxa"/>
            <w:noWrap w:val="0"/>
            <w:vAlign w:val="center"/>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243" w:type="dxa"/>
            <w:gridSpan w:val="4"/>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总计</w:t>
            </w:r>
          </w:p>
        </w:tc>
        <w:tc>
          <w:tcPr>
            <w:tcW w:w="3409" w:type="dxa"/>
            <w:gridSpan w:val="5"/>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xx学分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nish/>
          <w:kern w:val="44"/>
          <w:sz w:val="21"/>
          <w:szCs w:val="24"/>
          <w:lang w:val="en-US" w:eastAsia="zh-CN" w:bidi="ar"/>
        </w:rPr>
      </w:pPr>
    </w:p>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obbobstar" w:date="2024-05-15T14:13:52Z" w:initials="">
    <w:p w14:paraId="18536D43">
      <w:pPr>
        <w:pStyle w:val="3"/>
        <w:rPr>
          <w:rFonts w:hint="eastAsia" w:eastAsia="宋体"/>
          <w:lang w:eastAsia="zh-CN"/>
        </w:rPr>
      </w:pPr>
      <w:r>
        <w:rPr>
          <w:rFonts w:hint="eastAsia"/>
          <w:lang w:eastAsia="zh-CN"/>
        </w:rPr>
        <w:t>六位代码，与招生简章保持一致</w:t>
      </w:r>
    </w:p>
  </w:comment>
  <w:comment w:id="1" w:author="韩玺" w:date="2024-05-24T09:45:05Z" w:initials="">
    <w:p w14:paraId="0EBB78F8">
      <w:pPr>
        <w:widowControl/>
        <w:spacing w:line="240" w:lineRule="exact"/>
        <w:jc w:val="center"/>
        <w:rPr>
          <w:rFonts w:hint="default" w:eastAsia="宋体"/>
          <w:lang w:val="en-US" w:eastAsia="zh-CN"/>
        </w:rPr>
      </w:pPr>
      <w:r>
        <w:rPr>
          <w:rFonts w:hint="eastAsia"/>
          <w:lang w:val="en-US" w:eastAsia="zh-CN"/>
        </w:rPr>
        <w:t>这门课，如果是理工科培养点，需要变成《</w:t>
      </w:r>
      <w:r>
        <w:rPr>
          <w:rFonts w:hint="eastAsia" w:ascii="宋体" w:hAnsi="宋体" w:cs="宋体"/>
          <w:color w:val="000000"/>
          <w:kern w:val="0"/>
          <w:sz w:val="20"/>
        </w:rPr>
        <w:t>自然辩证法概论</w:t>
      </w:r>
      <w:r>
        <w:rPr>
          <w:rFonts w:hint="eastAsia"/>
          <w:lang w:val="en-US" w:eastAsia="zh-CN"/>
        </w:rPr>
        <w:t>》</w:t>
      </w:r>
    </w:p>
  </w:comment>
  <w:comment w:id="2" w:author="韩玺" w:date="2024-05-23T22:17:06Z" w:initials="">
    <w:p w14:paraId="51144ED3">
      <w:pPr>
        <w:pStyle w:val="3"/>
        <w:rPr>
          <w:rFonts w:hint="default" w:eastAsia="宋体"/>
          <w:lang w:val="en-US" w:eastAsia="zh-CN"/>
        </w:rPr>
      </w:pPr>
      <w:r>
        <w:rPr>
          <w:rFonts w:hint="eastAsia"/>
          <w:lang w:val="en-US" w:eastAsia="zh-CN"/>
        </w:rPr>
        <w:t>这些方式，根据系统里查询的结果填报。建议开课单位对课程考核方式进行规范。</w:t>
      </w:r>
    </w:p>
  </w:comment>
  <w:comment w:id="3" w:author="bobbobstar" w:date="2024-05-11T14:55:41Z" w:initials="">
    <w:p w14:paraId="25366EA1">
      <w:pPr>
        <w:pStyle w:val="3"/>
        <w:rPr>
          <w:rFonts w:hint="eastAsia" w:eastAsia="宋体"/>
          <w:lang w:eastAsia="zh-CN"/>
        </w:rPr>
      </w:pPr>
      <w:r>
        <w:rPr>
          <w:rFonts w:hint="eastAsia"/>
          <w:lang w:eastAsia="zh-CN"/>
        </w:rPr>
        <w:t>可下设分类，如学科基础课、专业核心课等</w:t>
      </w:r>
    </w:p>
  </w:comment>
  <w:comment w:id="4" w:author="Admin" w:date="2023-05-10T16:15:00Z" w:initials="A">
    <w:p w14:paraId="35BA1F33">
      <w:pPr>
        <w:pStyle w:val="3"/>
        <w:rPr>
          <w:color w:val="FF0000"/>
          <w:sz w:val="40"/>
          <w:szCs w:val="36"/>
        </w:rPr>
      </w:pPr>
      <w:r>
        <w:rPr>
          <w:rFonts w:hint="eastAsia"/>
          <w:color w:val="FF0000"/>
          <w:sz w:val="40"/>
          <w:szCs w:val="36"/>
        </w:rPr>
        <w:t>专业</w:t>
      </w:r>
      <w:r>
        <w:rPr>
          <w:rFonts w:hint="eastAsia"/>
          <w:color w:val="FF0000"/>
          <w:sz w:val="40"/>
          <w:szCs w:val="36"/>
          <w:lang w:eastAsia="zh-CN"/>
        </w:rPr>
        <w:t>学位</w:t>
      </w:r>
      <w:r>
        <w:rPr>
          <w:rFonts w:hint="eastAsia"/>
          <w:color w:val="FF0000"/>
          <w:sz w:val="40"/>
          <w:szCs w:val="36"/>
        </w:rPr>
        <w:t>硕士课程设置，</w:t>
      </w:r>
      <w:r>
        <w:rPr>
          <w:rFonts w:hint="eastAsia"/>
          <w:color w:val="FF0000"/>
        </w:rPr>
        <w:t>根据培养方案内容选择对应的模板后，删除另外一个</w:t>
      </w:r>
    </w:p>
  </w:comment>
  <w:comment w:id="5" w:author="bobbobstar" w:date="2024-05-11T14:56:37Z" w:initials="">
    <w:p w14:paraId="08B70B9E">
      <w:pPr>
        <w:pStyle w:val="3"/>
      </w:pPr>
      <w:r>
        <w:rPr>
          <w:rFonts w:hint="eastAsia"/>
          <w:lang w:val="en-US" w:eastAsia="zh-CN"/>
        </w:rPr>
        <w:t>如果不分方向，可直接合并删除。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536D43" w15:done="0"/>
  <w15:commentEx w15:paraId="0EBB78F8" w15:done="0"/>
  <w15:commentEx w15:paraId="51144ED3" w15:done="0"/>
  <w15:commentEx w15:paraId="25366EA1" w15:done="0"/>
  <w15:commentEx w15:paraId="35BA1F33" w15:done="0"/>
  <w15:commentEx w15:paraId="08B70B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left="0" w:leftChars="0" w:firstLine="0" w:firstLineChars="0"/>
      <w:jc w:val="both"/>
      <w:rPr>
        <w:rFonts w:hint="default" w:eastAsia="宋体" w:cs="宋体" w:asciiTheme="majorAscii" w:hAnsiTheme="majorAscii"/>
        <w:b/>
        <w:bCs/>
        <w:color w:val="000000" w:themeColor="text1"/>
        <w:sz w:val="21"/>
        <w:szCs w:val="21"/>
        <w:lang w:eastAsia="zh-Hans"/>
        <w14:textFill>
          <w14:solidFill>
            <w14:schemeClr w14:val="tx1"/>
          </w14:solidFill>
        </w14:textFill>
      </w:rPr>
    </w:pPr>
  </w:p>
  <w:p>
    <w:pPr>
      <w:pStyle w:val="5"/>
      <w:keepNext w:val="0"/>
      <w:keepLines w:val="0"/>
      <w:pageBreakBefore w:val="0"/>
      <w:widowControl w:val="0"/>
      <w:pBdr>
        <w:bottom w:val="single" w:color="auto" w:sz="4" w:space="1"/>
      </w:pBdr>
      <w:kinsoku/>
      <w:wordWrap/>
      <w:overflowPunct/>
      <w:topLinePunct w:val="0"/>
      <w:autoSpaceDE/>
      <w:autoSpaceDN/>
      <w:bidi w:val="0"/>
      <w:adjustRightInd/>
      <w:snapToGrid w:val="0"/>
      <w:ind w:left="0" w:leftChars="0" w:firstLine="0" w:firstLineChars="0"/>
      <w:jc w:val="left"/>
      <w:textAlignment w:val="auto"/>
      <w:rPr>
        <w:rFonts w:hint="eastAsia" w:asciiTheme="majorEastAsia" w:hAnsiTheme="majorEastAsia" w:eastAsiaTheme="majorEastAsia" w:cstheme="majorEastAsia"/>
        <w:b/>
        <w:bCs/>
        <w:color w:val="000000" w:themeColor="text1"/>
        <w:sz w:val="21"/>
        <w:szCs w:val="21"/>
        <w:shd w:val="clear" w:color="auto" w:fill="auto"/>
        <w:lang w:val="en-US" w:eastAsia="zh-Hans"/>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shd w:val="clear" w:color="auto" w:fill="auto"/>
        <w:lang w:val="en-US" w:eastAsia="zh-Hans"/>
        <w14:textFill>
          <w14:solidFill>
            <w14:schemeClr w14:val="tx1"/>
          </w14:solidFill>
        </w14:textFill>
      </w:rPr>
      <w:t>xx学院</w:t>
    </w:r>
    <w:r>
      <w:rPr>
        <w:rFonts w:hint="default" w:asciiTheme="majorEastAsia" w:hAnsiTheme="majorEastAsia" w:eastAsiaTheme="majorEastAsia" w:cstheme="majorEastAsia"/>
        <w:b/>
        <w:bCs/>
        <w:color w:val="000000" w:themeColor="text1"/>
        <w:sz w:val="21"/>
        <w:szCs w:val="21"/>
        <w:shd w:val="clear" w:color="auto" w:fill="auto"/>
        <w:lang w:eastAsia="zh-Hans"/>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1"/>
        <w:szCs w:val="21"/>
        <w:shd w:val="clear" w:color="auto" w:fill="auto"/>
        <w:lang w:val="en-US" w:eastAsia="zh-Hans"/>
        <w14:textFill>
          <w14:solidFill>
            <w14:schemeClr w14:val="tx1"/>
          </w14:solidFill>
        </w14:textFill>
      </w:rPr>
      <w:t>xx学科</w:t>
    </w:r>
    <w:r>
      <w:rPr>
        <w:rFonts w:hint="eastAsia" w:asciiTheme="majorEastAsia" w:hAnsiTheme="majorEastAsia" w:eastAsiaTheme="majorEastAsia" w:cstheme="majorEastAsia"/>
        <w:b/>
        <w:bCs/>
        <w:color w:val="000000" w:themeColor="text1"/>
        <w:sz w:val="21"/>
        <w:szCs w:val="21"/>
        <w:shd w:val="clear" w:color="auto" w:fill="auto"/>
        <w:lang w:val="en-US" w:eastAsia="zh-CN"/>
        <w14:textFill>
          <w14:solidFill>
            <w14:schemeClr w14:val="tx1"/>
          </w14:solidFill>
        </w14:textFill>
      </w:rPr>
      <w:t>/专业类别</w:t>
    </w:r>
    <w:r>
      <w:rPr>
        <w:rFonts w:hint="default" w:asciiTheme="majorEastAsia" w:hAnsiTheme="majorEastAsia" w:eastAsiaTheme="majorEastAsia" w:cstheme="majorEastAsia"/>
        <w:b/>
        <w:bCs/>
        <w:color w:val="000000" w:themeColor="text1"/>
        <w:sz w:val="21"/>
        <w:szCs w:val="21"/>
        <w:shd w:val="clear" w:color="auto" w:fill="auto"/>
        <w:lang w:eastAsia="zh-Hans"/>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1"/>
        <w:szCs w:val="21"/>
        <w:shd w:val="clear" w:color="auto" w:fill="auto"/>
        <w:lang w:val="en-US" w:eastAsia="zh-Hans"/>
        <w14:textFill>
          <w14:solidFill>
            <w14:schemeClr w14:val="tx1"/>
          </w14:solidFill>
        </w14:textFill>
      </w:rPr>
      <w:t>硕士研究生培养方案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22A52"/>
    <w:multiLevelType w:val="singleLevel"/>
    <w:tmpl w:val="2B122A52"/>
    <w:lvl w:ilvl="0" w:tentative="0">
      <w:start w:val="1"/>
      <w:numFmt w:val="chineseCounting"/>
      <w:suff w:val="nothing"/>
      <w:lvlText w:val="%1、"/>
      <w:lvlJc w:val="left"/>
      <w:pPr>
        <w:ind w:left="-13"/>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bbobstar">
    <w15:presenceInfo w15:providerId="WPS Office" w15:userId="3904467137"/>
  </w15:person>
  <w15:person w15:author="韩玺">
    <w15:presenceInfo w15:providerId="WPS Office" w15:userId="762786570"/>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YTA1MjQxMWFiYWJjNGEwNmVmMjc4ZTkwZTVhOGMifQ=="/>
  </w:docVars>
  <w:rsids>
    <w:rsidRoot w:val="2B0B4AF1"/>
    <w:rsid w:val="03E42D01"/>
    <w:rsid w:val="111F1721"/>
    <w:rsid w:val="21460C91"/>
    <w:rsid w:val="23CE30F5"/>
    <w:rsid w:val="24743470"/>
    <w:rsid w:val="266D0DFD"/>
    <w:rsid w:val="29223A16"/>
    <w:rsid w:val="29C27A8F"/>
    <w:rsid w:val="2B0B4AF1"/>
    <w:rsid w:val="2D73499D"/>
    <w:rsid w:val="36E5781D"/>
    <w:rsid w:val="37272C99"/>
    <w:rsid w:val="3B030396"/>
    <w:rsid w:val="3C9F6BCD"/>
    <w:rsid w:val="3CFF4BBC"/>
    <w:rsid w:val="3EAF7A92"/>
    <w:rsid w:val="3F762A0F"/>
    <w:rsid w:val="407D5066"/>
    <w:rsid w:val="422D6128"/>
    <w:rsid w:val="436C4A04"/>
    <w:rsid w:val="4D221F86"/>
    <w:rsid w:val="4D5B1B76"/>
    <w:rsid w:val="5A2A50B9"/>
    <w:rsid w:val="5D733EA6"/>
    <w:rsid w:val="5FBE7FA1"/>
    <w:rsid w:val="610B7950"/>
    <w:rsid w:val="62C0797A"/>
    <w:rsid w:val="646C6F6D"/>
    <w:rsid w:val="64F45484"/>
    <w:rsid w:val="69F70227"/>
    <w:rsid w:val="6FD5048F"/>
    <w:rsid w:val="7697B834"/>
    <w:rsid w:val="76B767FE"/>
    <w:rsid w:val="776F8776"/>
    <w:rsid w:val="7BE15B92"/>
    <w:rsid w:val="7C64FE54"/>
    <w:rsid w:val="7EF68505"/>
    <w:rsid w:val="7FF93481"/>
    <w:rsid w:val="A7DF97FA"/>
    <w:rsid w:val="C7EEE1F9"/>
    <w:rsid w:val="E5EF84A5"/>
    <w:rsid w:val="E7DFA5C7"/>
    <w:rsid w:val="EBDD0E83"/>
    <w:rsid w:val="FDFF9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Chars="100"/>
      <w:jc w:val="center"/>
      <w:outlineLvl w:val="9"/>
    </w:pPr>
    <w:rPr>
      <w:rFonts w:eastAsia="宋体"/>
      <w:b/>
      <w:sz w:val="21"/>
    </w:rPr>
  </w:style>
  <w:style w:type="paragraph" w:styleId="6">
    <w:name w:val="Normal (Web)"/>
    <w:basedOn w:val="1"/>
    <w:autoRedefine/>
    <w:qFormat/>
    <w:uiPriority w:val="0"/>
    <w:rPr>
      <w:sz w:val="24"/>
    </w:rPr>
  </w:style>
  <w:style w:type="table" w:styleId="8">
    <w:name w:val="Table Grid"/>
    <w:basedOn w:val="7"/>
    <w:autoRedefine/>
    <w:unhideWhenUsed/>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2838</Words>
  <Characters>3266</Characters>
  <Lines>1</Lines>
  <Paragraphs>1</Paragraphs>
  <TotalTime>24</TotalTime>
  <ScaleCrop>false</ScaleCrop>
  <LinksUpToDate>false</LinksUpToDate>
  <CharactersWithSpaces>3330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2024-05-14T15:28:00Z</dcterms:created>
  <dc:creator>刘淑媛</dc:creator>
  <cp:lastModifiedBy>bobbobstar</cp:lastModifiedBy>
  <cp:lastPrinted>2024-05-16T03:21:00Z</cp:lastPrinted>
  <dcterms:modified xsi:type="dcterms:W3CDTF">2024-06-07T03:22:45Z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13FE52548076408CB6BEC42D864C4ACF_13</vt:lpwstr>
  </property>
</Properties>
</file>