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广东财经大学</w:t>
      </w:r>
      <w:bookmarkStart w:id="0" w:name="_GoBack"/>
      <w:bookmarkEnd w:id="0"/>
      <w:r>
        <w:rPr>
          <w:rFonts w:hint="eastAsia" w:ascii="方正小标宋简体" w:hAnsi="方正小标宋简体" w:eastAsia="方正小标宋简体" w:cs="方正小标宋简体"/>
          <w:sz w:val="44"/>
          <w:szCs w:val="44"/>
        </w:rPr>
        <w:t>研究生行业调研大赛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选题参考（2019年）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pP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分布式数据库在金融领域的应用及实施路径</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金融科技发展现状、监管经验及启示</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非银行替代数据如何服务中小微企业融资</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金融支持佛山企业“走出去”战略研究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大学生个人消费贷款的场景、问题及风险防范</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大数据和云计算技术在支付机构监管中的应用</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非银行支付机构垄断情况及监管措施研究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金融科技在移动支付领域的应用分析</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零售支付终端发展趋势研究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经常项目顺差转逆差状况下的宏观调控及微观应对研究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制造业发展情况问题及相关减税效果研究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社保费用相关改革对企业负担影响分析</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“五险一金”作为增值税进项抵扣的可行性测算</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粤港澳大湾区建设中银行经营发展的机遇与挑战</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如何做好金融服务支持佛山先进制造业发展</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“三大战略”在佛山进一步落地生根的策略与路径</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420" w:leftChars="-20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资料：三大战略——总行党委以习近平新时代中国特色社会主义思想和党的十九大精神为指导，紧扣国家发展大势，在新时代、新形势下确定的重大战略决策，包含：住房租赁、金融科技和普惠金融。住房租赁：建行瞄准住房市场的痛点，以先进金融科技为出发点，整合社会需求，打造租房租赁综合服务方案。金融科技：本质是金融和业务，银行运用科技手段，对传统金融行业提供的产品和服务加以创新，旨在为客户提供更加优质高效的服务，而银行自身可提升运营效率，降低运营成本。中国建设银行信息总监金磐石在第二届中国金融科技前沿论坛上发表演讲时，将金融科技的技术概括为“ABCDMIX”，A是人工智能，B是区块链，C是云计算，D是大数据，M是移动互联，I是物联网，X是如5G、量子计算等尚未正式商用的前沿技术。普惠金融战略：是建行为积极响应国家普惠金融政策，主要为小企业、小行业提供金融服务发展的战略。</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数字经济时代如何发挥银行网点优势提升竞争力</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数字经济时代建行智能风控体系建设</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如何通过金融科技赋能社会服务与第二发展曲线新探索</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资料：第二发展曲线——由英国人查尔斯提出，其含义是如果以一条曲线反映企业增长发展规律，任何一条增长曲线都会滑过抛物线的顶点再归于平缓、下降甚至消失。要保持企业持续增长，须在第一曲线下降消失之前找到一条新的增长曲线。</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如何实施普惠金融战略增强服务佛山实体经济能力</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银行如何更有效推动国家ETC政策落地</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如何强化农村金融服务助力佛山乡村振兴</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对银行精准服务大学生群体的建议与思考</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大学生群体（青年群体）金融需求分析报告</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互联网思维在商业银行营销实践中的运用和启示</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银行如何使用区块链技术提升金融服务</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大数据时代银行精准营销的路径选择</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如何运用金融科技手段开展场景建设和平台搭建，提升客户体验感</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如何借助金融科技提升信用卡业务精细化管理水平</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如何优化智慧柜员机管理和服务水平</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背景资料：智慧柜员机——建设银行统一设计、自主研发的能通过人机智能交互提供建设银行综合金融服务的智能化自助终端</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如何加强劳动者港湾建设为劳动者提供更丰富有效的服务</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42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背景资料：劳动者港湾——建设银行开放共享自身资源，主动真诚地为劳动者歇脚停靠提供便利场所，打造劳动者的“歇脚地”、“加油站”、“充电桩”、“暖心窝”，重点为环卫工人、出租车司机、交通警察、城管、快递员、志愿者等户外工作者及其他劳动者，老弱病残孕、走失儿童、考生等需要特殊关爱的群体以及其他有需求的社会公众提供无偿、周到、贴心的服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银行金融机构如何开展数字化转型工作</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多渠道提升银行获客能力</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国有银行如何抓好基层党组织建设</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佛山非车险市场业务发展潜力分析，重点发展板块研讨</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资料：佛山当地整体非车险体量相对较小。同时，佛山的产业主要以家具、陶瓷、电器等制造业为主，非车险发展局限于传统的企业财产保险、雇主责任险、公众责任险，且经过多年的市场发展，市场已经趋于饱和。此外，新兴保险如互联网保险、科技保险等在佛山落地比较困难。鉴于此，希望通过此次探讨，研究佛山非车险发展的新版块，打开佛山非车险发展新局面。</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line="560" w:lineRule="exact"/>
        <w:ind w:left="-420" w:leftChars="-20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如何通过大数据，实现非车险定价标准化，避免经验定价</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560" w:lineRule="exact"/>
        <w:ind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背景资料：目前非车险定价主要是基于经验数据，由于佛山区域较小，单个保险公司承保的标的数量不足，各保险公司之间的数据也不互通，导致出现保险定价基于保险公司自身经验的情况。近年来，大数据产业蓬勃发展，广泛应用于各细分领域，金融行业也在其中。互联网保险公司的保险定价、保险方案设计更多是基于大数据分析的客户需求，更加能够贴合市场。鉴于此，研究探讨传统保险公司如何能够通过大数据，更好分析客户需求，达到保险方案设计、定价的场景化、精细化、数据化，具有迫切的意义</w:t>
      </w:r>
      <w:r>
        <w:rPr>
          <w:rFonts w:hint="eastAsia" w:ascii="仿宋_GB2312" w:hAnsi="仿宋_GB2312" w:eastAsia="仿宋_GB2312" w:cs="仿宋_GB2312"/>
          <w:sz w:val="32"/>
          <w:szCs w:val="32"/>
          <w:lang w:eastAsia="zh-CN"/>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1C7FC"/>
    <w:multiLevelType w:val="singleLevel"/>
    <w:tmpl w:val="3841C7F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54862"/>
    <w:rsid w:val="00044320"/>
    <w:rsid w:val="0038373C"/>
    <w:rsid w:val="0040216E"/>
    <w:rsid w:val="007758D1"/>
    <w:rsid w:val="009F41EB"/>
    <w:rsid w:val="0BBD000E"/>
    <w:rsid w:val="10336AF0"/>
    <w:rsid w:val="1173255A"/>
    <w:rsid w:val="1CFA3641"/>
    <w:rsid w:val="21D36973"/>
    <w:rsid w:val="274E5821"/>
    <w:rsid w:val="293F1B47"/>
    <w:rsid w:val="37F53355"/>
    <w:rsid w:val="3BEA3892"/>
    <w:rsid w:val="501205D7"/>
    <w:rsid w:val="52354862"/>
    <w:rsid w:val="5740626F"/>
    <w:rsid w:val="60722FF7"/>
    <w:rsid w:val="66486DB6"/>
    <w:rsid w:val="781B597C"/>
    <w:rsid w:val="7BB2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1681</Characters>
  <Lines>14</Lines>
  <Paragraphs>3</Paragraphs>
  <TotalTime>19</TotalTime>
  <ScaleCrop>false</ScaleCrop>
  <LinksUpToDate>false</LinksUpToDate>
  <CharactersWithSpaces>1972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2019-11-22T03:09:00Z</dcterms:created>
  <dc:creator>林幸</dc:creator>
  <cp:lastModifiedBy>林幸</cp:lastModifiedBy>
  <cp:lastPrinted>2019-11-19T01:49:00Z</cp:lastPrinted>
  <dcterms:modified xsi:type="dcterms:W3CDTF">2019-11-22T07:07:52Z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