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FFE" w:rsidRDefault="006D1FFE" w:rsidP="006D1FFE">
      <w:pPr>
        <w:pStyle w:val="1"/>
        <w:spacing w:line="500" w:lineRule="exact"/>
      </w:pPr>
      <w:bookmarkStart w:id="0" w:name="_Toc453805792"/>
      <w:r>
        <w:rPr>
          <w:rFonts w:hint="eastAsia"/>
        </w:rPr>
        <w:t>广东财经大学公共管理硕士专业学位授予标准</w:t>
      </w:r>
      <w:bookmarkEnd w:id="0"/>
    </w:p>
    <w:p w:rsidR="006D1FFE" w:rsidRDefault="006D1FFE" w:rsidP="006D1FFE">
      <w:pPr>
        <w:adjustRightInd w:val="0"/>
        <w:snapToGrid w:val="0"/>
        <w:spacing w:line="500" w:lineRule="exact"/>
        <w:jc w:val="center"/>
        <w:rPr>
          <w:rFonts w:ascii="Times New Roman" w:eastAsia="微软雅黑" w:hAnsi="Times New Roman"/>
          <w:color w:val="4B4B4B"/>
          <w:sz w:val="28"/>
          <w:szCs w:val="28"/>
        </w:rPr>
      </w:pPr>
      <w:r>
        <w:rPr>
          <w:rFonts w:ascii="Times New Roman" w:eastAsia="微软雅黑" w:hAnsi="Times New Roman" w:hint="eastAsia"/>
          <w:color w:val="4B4B4B"/>
          <w:sz w:val="28"/>
          <w:szCs w:val="28"/>
        </w:rPr>
        <w:t>（</w:t>
      </w:r>
      <w:r>
        <w:rPr>
          <w:rFonts w:ascii="Times New Roman" w:eastAsia="微软雅黑" w:hAnsi="Times New Roman"/>
          <w:color w:val="4B4B4B"/>
          <w:sz w:val="28"/>
          <w:szCs w:val="28"/>
        </w:rPr>
        <w:t>1252</w:t>
      </w:r>
      <w:r>
        <w:rPr>
          <w:rFonts w:ascii="Times New Roman" w:eastAsia="微软雅黑" w:hAnsi="Times New Roman" w:hint="eastAsia"/>
          <w:color w:val="4B4B4B"/>
          <w:sz w:val="28"/>
          <w:szCs w:val="28"/>
        </w:rPr>
        <w:t>）</w:t>
      </w:r>
    </w:p>
    <w:p w:rsidR="006D1FFE" w:rsidRPr="0076651A" w:rsidRDefault="006D1FFE" w:rsidP="006D1FFE">
      <w:pPr>
        <w:adjustRightInd w:val="0"/>
        <w:snapToGrid w:val="0"/>
        <w:spacing w:beforeLines="50" w:afterLines="50" w:line="500" w:lineRule="exact"/>
        <w:ind w:firstLineChars="200" w:firstLine="560"/>
        <w:rPr>
          <w:rFonts w:ascii="黑体" w:eastAsia="黑体"/>
          <w:color w:val="4B4B4B"/>
          <w:sz w:val="28"/>
          <w:szCs w:val="28"/>
        </w:rPr>
      </w:pPr>
      <w:r w:rsidRPr="0076651A">
        <w:rPr>
          <w:rFonts w:ascii="黑体" w:eastAsia="黑体" w:hint="eastAsia"/>
          <w:color w:val="4B4B4B"/>
          <w:sz w:val="28"/>
          <w:szCs w:val="28"/>
        </w:rPr>
        <w:t>一、培养目标和主要培养方向简介</w:t>
      </w:r>
    </w:p>
    <w:p w:rsidR="006D1FFE" w:rsidRDefault="006D1FFE" w:rsidP="006D1FFE">
      <w:pPr>
        <w:widowControl/>
        <w:tabs>
          <w:tab w:val="left" w:pos="0"/>
        </w:tabs>
        <w:adjustRightInd w:val="0"/>
        <w:snapToGrid w:val="0"/>
        <w:spacing w:line="500" w:lineRule="exact"/>
        <w:ind w:firstLineChars="200" w:firstLine="562"/>
        <w:jc w:val="left"/>
        <w:rPr>
          <w:rFonts w:ascii="宋体" w:eastAsia="宋体" w:hAnsi="宋体"/>
          <w:color w:val="2E74B5"/>
          <w:szCs w:val="28"/>
        </w:rPr>
      </w:pPr>
      <w:r>
        <w:rPr>
          <w:rFonts w:ascii="仿宋_GB2312" w:eastAsia="仿宋_GB2312" w:hAnsi="仿宋" w:cs="仿宋"/>
          <w:b/>
          <w:color w:val="000000"/>
          <w:kern w:val="0"/>
          <w:sz w:val="28"/>
          <w:szCs w:val="24"/>
        </w:rPr>
        <w:t>1.</w:t>
      </w:r>
      <w:r>
        <w:rPr>
          <w:rFonts w:ascii="仿宋_GB2312" w:eastAsia="仿宋_GB2312" w:hAnsi="仿宋" w:cs="仿宋" w:hint="eastAsia"/>
          <w:b/>
          <w:color w:val="000000"/>
          <w:kern w:val="0"/>
          <w:sz w:val="28"/>
          <w:szCs w:val="24"/>
        </w:rPr>
        <w:t>培养目标</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培养具备良好的政治思想素质和职业道德素养，掌握系统的公共管理理论、知识和方法，具备从事公共管理与公共政策分析的能力，能够综合运用管理、政治、经济、法律、现代科技等方面知识和科学研究方法解决公共管理实际问题的德才兼备的高层次、应用型、复合型公共管理专门人才。</w:t>
      </w:r>
      <w:r>
        <w:rPr>
          <w:rFonts w:ascii="仿宋_GB2312" w:eastAsia="仿宋_GB2312" w:hAnsi="仿宋" w:cs="仿宋"/>
          <w:color w:val="000000"/>
          <w:kern w:val="0"/>
          <w:sz w:val="28"/>
          <w:szCs w:val="28"/>
        </w:rPr>
        <w:t>MPA</w:t>
      </w:r>
      <w:hyperlink r:id="rId4" w:tgtFrame="_blank" w:history="1">
        <w:r>
          <w:rPr>
            <w:rFonts w:ascii="仿宋_GB2312" w:eastAsia="仿宋_GB2312" w:hAnsi="仿宋" w:cs="仿宋" w:hint="eastAsia"/>
            <w:color w:val="000000"/>
            <w:kern w:val="0"/>
            <w:sz w:val="28"/>
            <w:szCs w:val="28"/>
          </w:rPr>
          <w:t>专业学位</w:t>
        </w:r>
      </w:hyperlink>
      <w:r>
        <w:rPr>
          <w:rFonts w:ascii="仿宋_GB2312" w:eastAsia="仿宋_GB2312" w:hAnsi="仿宋" w:cs="仿宋" w:hint="eastAsia"/>
          <w:color w:val="000000"/>
          <w:kern w:val="0"/>
          <w:sz w:val="28"/>
          <w:szCs w:val="28"/>
        </w:rPr>
        <w:t>获得者就业主要面向公共部门的各个领域，包括党政机关，尤其是政府部门和非政府公共机构</w:t>
      </w:r>
      <w:r>
        <w:rPr>
          <w:rFonts w:ascii="仿宋_GB2312" w:eastAsia="仿宋_GB2312" w:hAnsi="仿宋" w:cs="仿宋"/>
          <w:color w:val="000000"/>
          <w:kern w:val="0"/>
          <w:sz w:val="28"/>
          <w:szCs w:val="28"/>
        </w:rPr>
        <w:t>(</w:t>
      </w:r>
      <w:hyperlink r:id="rId5" w:tgtFrame="_blank" w:history="1">
        <w:r>
          <w:rPr>
            <w:rFonts w:ascii="仿宋_GB2312" w:eastAsia="仿宋_GB2312" w:hAnsi="仿宋" w:cs="仿宋" w:hint="eastAsia"/>
            <w:color w:val="000000"/>
            <w:kern w:val="0"/>
            <w:sz w:val="28"/>
            <w:szCs w:val="28"/>
          </w:rPr>
          <w:t>非营利组织</w:t>
        </w:r>
      </w:hyperlink>
      <w:r>
        <w:rPr>
          <w:rFonts w:ascii="仿宋_GB2312" w:eastAsia="仿宋_GB2312" w:hAnsi="仿宋" w:cs="仿宋" w:hint="eastAsia"/>
          <w:color w:val="000000"/>
          <w:kern w:val="0"/>
          <w:sz w:val="28"/>
          <w:szCs w:val="28"/>
        </w:rPr>
        <w:t>、社会中介组织及社会团体、思想库或咨询公司等</w:t>
      </w:r>
      <w:r>
        <w:rPr>
          <w:rFonts w:ascii="仿宋_GB2312" w:eastAsia="仿宋_GB2312" w:hAnsi="仿宋" w:cs="仿宋"/>
          <w:color w:val="000000"/>
          <w:kern w:val="0"/>
          <w:sz w:val="28"/>
          <w:szCs w:val="28"/>
        </w:rPr>
        <w:t>)</w:t>
      </w:r>
      <w:r>
        <w:rPr>
          <w:rFonts w:ascii="仿宋_GB2312" w:eastAsia="仿宋_GB2312" w:hAnsi="仿宋" w:cs="仿宋" w:hint="eastAsia"/>
          <w:color w:val="000000"/>
          <w:kern w:val="0"/>
          <w:sz w:val="28"/>
          <w:szCs w:val="28"/>
        </w:rPr>
        <w:t>以及企事业单位的人事与行政部门等。</w:t>
      </w:r>
    </w:p>
    <w:p w:rsidR="006D1FFE" w:rsidRDefault="006D1FFE" w:rsidP="006D1FFE">
      <w:pPr>
        <w:widowControl/>
        <w:tabs>
          <w:tab w:val="left" w:pos="0"/>
        </w:tabs>
        <w:adjustRightInd w:val="0"/>
        <w:snapToGrid w:val="0"/>
        <w:spacing w:line="500" w:lineRule="exact"/>
        <w:ind w:firstLineChars="200" w:firstLine="562"/>
        <w:jc w:val="left"/>
        <w:rPr>
          <w:rFonts w:ascii="仿宋_GB2312" w:eastAsia="仿宋_GB2312" w:hAnsi="仿宋" w:cs="仿宋"/>
          <w:b/>
          <w:color w:val="000000"/>
          <w:kern w:val="0"/>
          <w:sz w:val="28"/>
          <w:szCs w:val="24"/>
        </w:rPr>
      </w:pPr>
      <w:r>
        <w:rPr>
          <w:rFonts w:ascii="仿宋_GB2312" w:eastAsia="仿宋_GB2312" w:hAnsi="仿宋" w:cs="仿宋"/>
          <w:b/>
          <w:color w:val="000000"/>
          <w:kern w:val="0"/>
          <w:sz w:val="28"/>
          <w:szCs w:val="24"/>
        </w:rPr>
        <w:t>2.</w:t>
      </w:r>
      <w:r>
        <w:rPr>
          <w:rFonts w:ascii="仿宋_GB2312" w:eastAsia="仿宋_GB2312" w:hAnsi="仿宋" w:cs="仿宋" w:hint="eastAsia"/>
          <w:b/>
          <w:color w:val="000000"/>
          <w:kern w:val="0"/>
          <w:sz w:val="28"/>
          <w:szCs w:val="24"/>
        </w:rPr>
        <w:t>主要培养方向</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w:t>
      </w:r>
      <w:r>
        <w:rPr>
          <w:rFonts w:ascii="仿宋_GB2312" w:eastAsia="仿宋_GB2312" w:hAnsi="仿宋" w:cs="仿宋"/>
          <w:color w:val="000000"/>
          <w:kern w:val="0"/>
          <w:sz w:val="28"/>
          <w:szCs w:val="28"/>
        </w:rPr>
        <w:t>1</w:t>
      </w:r>
      <w:r>
        <w:rPr>
          <w:rFonts w:ascii="仿宋_GB2312" w:eastAsia="仿宋_GB2312" w:hAnsi="仿宋" w:cs="仿宋" w:hint="eastAsia"/>
          <w:color w:val="000000"/>
          <w:kern w:val="0"/>
          <w:sz w:val="28"/>
          <w:szCs w:val="28"/>
        </w:rPr>
        <w:t>）地方治理与行政法治</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主要运用公共管理学、行政管理学、法学、经济学、公共治理学的基本理论与方法对地方治理及行政法治进行系统研究。目前主要围绕社区治理、乡村治理、城市治理、基层政府治理、区域治理、生态环境治理、地方财政治理、电子化治理、法治化政府、行政法与行政诉讼法等方面对中国的地方治理和行政法治化问题展开系统研究。其在地方治理方面，主要从地方治理的生态、主体、对象、权力、决策、技术等方面对社区治理模式、乡村治理模式、城市治理模式、基层政府治理模式、区域治理模式、生态环境治理模式进行研究，重点分析各种不同地方治理模式的缺陷、绩效、能力与创新之处；在行政法治方面，主要从行政立法、行政程序法、行政自由裁量权法、行政许可法、行政处罚法、行政赔偿法、行政监督法、行政诉讼法等方面对行</w:t>
      </w:r>
      <w:r>
        <w:rPr>
          <w:rFonts w:ascii="仿宋_GB2312" w:eastAsia="仿宋_GB2312" w:hAnsi="仿宋" w:cs="仿宋" w:hint="eastAsia"/>
          <w:color w:val="000000"/>
          <w:kern w:val="0"/>
          <w:sz w:val="28"/>
          <w:szCs w:val="28"/>
        </w:rPr>
        <w:lastRenderedPageBreak/>
        <w:t>政法与行政诉讼法进行研究，重点研究如何通过健全完善行政法与行政诉讼法和如何强化行政法与行政诉讼法执行力来提升各级地方政府法治化能力和水平。</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该培养方向在实践教学方面主要关注当前地方治理和行政法治领域的前沿性思想理论和现实实践问题，强化问题导向，突出案例教学和小组讨论，合理安排学生到地方治理创新项目现场进行参观学习和调研，组织学生到行政法庭观摩旁听。</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w:t>
      </w:r>
      <w:r>
        <w:rPr>
          <w:rFonts w:ascii="仿宋_GB2312" w:eastAsia="仿宋_GB2312" w:hAnsi="仿宋" w:cs="仿宋"/>
          <w:color w:val="000000"/>
          <w:kern w:val="0"/>
          <w:sz w:val="28"/>
          <w:szCs w:val="28"/>
        </w:rPr>
        <w:t>2</w:t>
      </w:r>
      <w:r>
        <w:rPr>
          <w:rFonts w:ascii="仿宋_GB2312" w:eastAsia="仿宋_GB2312" w:hAnsi="仿宋" w:cs="仿宋" w:hint="eastAsia"/>
          <w:color w:val="000000"/>
          <w:kern w:val="0"/>
          <w:sz w:val="28"/>
          <w:szCs w:val="28"/>
        </w:rPr>
        <w:t>）社会组织与事业管理</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社会组织日益成为参与社区和公共服务、推动慈善事业、锻造公私合作、影响公共政策、促进经济和社会发展的复杂实体。</w:t>
      </w:r>
      <w:r>
        <w:rPr>
          <w:rFonts w:ascii="仿宋_GB2312" w:eastAsia="仿宋_GB2312" w:hAnsi="仿宋" w:cs="仿宋"/>
          <w:color w:val="000000"/>
          <w:kern w:val="0"/>
          <w:sz w:val="28"/>
          <w:szCs w:val="28"/>
        </w:rPr>
        <w:t>2016</w:t>
      </w:r>
      <w:r>
        <w:rPr>
          <w:rFonts w:ascii="仿宋_GB2312" w:eastAsia="仿宋_GB2312" w:hAnsi="仿宋" w:cs="仿宋" w:hint="eastAsia"/>
          <w:color w:val="000000"/>
          <w:kern w:val="0"/>
          <w:sz w:val="28"/>
          <w:szCs w:val="28"/>
        </w:rPr>
        <w:t>年出台的《慈善法》更为社会组织及其事业的发展提供了崭新的机遇和广阔的舞台。随着社会组织的日益壮大和复杂，对富有经验和技术技能以及能深入理解社会组织真正运作的管理者和服务者的需求显得日益迫切，但我国目前能满足上述需求的相关人才严重缺乏。本培养方向的确立就旨在满足这一人才培养需求。</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本培养方向将主要运用政治学、公共管理学、经济学、法学的基本理论和方法对我国当代社会组织的经济和政治之维进行研究，主要涉及社会组织的使命、组织形式的选择、筹资管理、项目管理、资金（投资）管理、人力资源管理、传播管理、社会组织治理、社会创新与社会企业、社会组织与政府的关系、社会组织与企业的关系、税收制度等方面的研究。</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该培养方向在实践教学方面主要关注公益众筹、公益创投等创新筹款方式的实践运用，并关注社会组织与私人企业合作项目的创新</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w:t>
      </w:r>
      <w:r>
        <w:rPr>
          <w:rFonts w:ascii="仿宋_GB2312" w:eastAsia="仿宋_GB2312" w:hAnsi="仿宋" w:cs="仿宋"/>
          <w:color w:val="000000"/>
          <w:kern w:val="0"/>
          <w:sz w:val="28"/>
          <w:szCs w:val="28"/>
        </w:rPr>
        <w:t>3</w:t>
      </w:r>
      <w:r>
        <w:rPr>
          <w:rFonts w:ascii="仿宋_GB2312" w:eastAsia="仿宋_GB2312" w:hAnsi="仿宋" w:cs="仿宋" w:hint="eastAsia"/>
          <w:color w:val="000000"/>
          <w:kern w:val="0"/>
          <w:sz w:val="28"/>
          <w:szCs w:val="28"/>
        </w:rPr>
        <w:t>）土地经济与政策</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主要运用公共管理学、经济学、法学的基本理论和方法对土地资源开发、利用、管理政策及土地市场等进行系统研究。目前主要围绕土地经济与土地制度、土地利用规划、资源价格核算与土地可持续利</w:t>
      </w:r>
      <w:r>
        <w:rPr>
          <w:rFonts w:ascii="仿宋_GB2312" w:eastAsia="仿宋_GB2312" w:hAnsi="仿宋" w:cs="仿宋" w:hint="eastAsia"/>
          <w:color w:val="000000"/>
          <w:kern w:val="0"/>
          <w:sz w:val="28"/>
          <w:szCs w:val="28"/>
        </w:rPr>
        <w:lastRenderedPageBreak/>
        <w:t>用、社会经济发展与土地利用变化、农村土地流转、农地抵押及其政策应用、土地法律等方面对中国的土地问题展开系统研究。从土地的产权制度、土地利用制度、土地税收制度等方面进行土地产权、土地利用、土地市场、土地价格、土地金融、土地税收等方面研究现行土地制度和政策的宏观效应及评价方法，重点研究如何发挥市场优化配置土地资源，土地收购储备、出让转让，招标拍卖运行机制及地产市场同国民经济各部门间的相互影响和变化规律，并通过土地的政策与法律法规的制订、实施和评估予以保障。</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该培养方向在实践教学方面主要关注土地资源管理的关键理论依据和现代技术方法研究，并将计算机、空间、遥感与地理信息系统等高新技术运用于土地资源领域，提高土地资源管理的自动化和现代化水平。</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w:t>
      </w:r>
      <w:r>
        <w:rPr>
          <w:rFonts w:ascii="仿宋_GB2312" w:eastAsia="仿宋_GB2312" w:hAnsi="仿宋" w:cs="仿宋"/>
          <w:color w:val="000000"/>
          <w:kern w:val="0"/>
          <w:sz w:val="28"/>
          <w:szCs w:val="28"/>
        </w:rPr>
        <w:t>4</w:t>
      </w:r>
      <w:r>
        <w:rPr>
          <w:rFonts w:ascii="仿宋_GB2312" w:eastAsia="仿宋_GB2312" w:hAnsi="仿宋" w:cs="仿宋" w:hint="eastAsia"/>
          <w:color w:val="000000"/>
          <w:kern w:val="0"/>
          <w:sz w:val="28"/>
          <w:szCs w:val="28"/>
        </w:rPr>
        <w:t>）社会保障与社会政策</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社会保障与社会政策方向主要培养适应社会保障和社会政策发展需要，熟悉国内外社会保障理论和政策，掌握社会保障管理技术和方法的复合型专门人才。</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本方向综合运用经济学、管理学、社会学和政治学的理论和方法，在系统介绍社会保障基础理论的基础上，结合中国社会保障制度的实践和政策，对社会保障宏观政策、社会保障管理运行体制、社会保障基金投资与管理、社会保障制度国际比较以及社会保险等问题进行了研究。本方向不仅学习掌握社会保障和社会政策的基本理论、基本知识，同时还要接受社会保险技术与管理方法、专业人员基本素质与基本能力的培养和训练，从而具有规划、协调、组织和决策方面的基本能力，能从事社会保障和社会政策方面的管理和经营。</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本方向力图在全面掌握社会保障理论和政策的基础上，使培养对象充分认识社会保障和社会政策在国家社会制度中的重要地位和作用，掌握社会保障和社会政策的基础理论和基础知识，了解中国社会</w:t>
      </w:r>
      <w:r>
        <w:rPr>
          <w:rFonts w:ascii="仿宋_GB2312" w:eastAsia="仿宋_GB2312" w:hAnsi="仿宋" w:cs="仿宋" w:hint="eastAsia"/>
          <w:color w:val="000000"/>
          <w:kern w:val="0"/>
          <w:sz w:val="28"/>
          <w:szCs w:val="28"/>
        </w:rPr>
        <w:lastRenderedPageBreak/>
        <w:t>保障制度的理论、政策和实践，准确把握和分析中国社会保障制度和政策中存在的问题和解决的办法，从而运用社会保障学的独特视角，培养学生从事公共政策分析与研究的能力，从而对经济社会问题进行深入分析，促进经济社会的协调发展。</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w:t>
      </w:r>
      <w:r>
        <w:rPr>
          <w:rFonts w:ascii="仿宋_GB2312" w:eastAsia="仿宋_GB2312" w:hAnsi="仿宋" w:cs="仿宋"/>
          <w:color w:val="000000"/>
          <w:kern w:val="0"/>
          <w:sz w:val="28"/>
          <w:szCs w:val="28"/>
        </w:rPr>
        <w:t>5</w:t>
      </w:r>
      <w:r>
        <w:rPr>
          <w:rFonts w:ascii="仿宋_GB2312" w:eastAsia="仿宋_GB2312" w:hAnsi="仿宋" w:cs="仿宋" w:hint="eastAsia"/>
          <w:color w:val="000000"/>
          <w:kern w:val="0"/>
          <w:sz w:val="28"/>
          <w:szCs w:val="28"/>
        </w:rPr>
        <w:t>）公共文化服务与文化产业管理</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现代公共文化服务体系是现代化国家治理体系的组成部分，是现代化国家治理能力的必备要素。公共文化服务要坚持以人为本，满足人民的文化需求，树立以实现公民文化权利为核心的公共文化政策理念；要推动公共文化服务社会化发展，让开放竞争的市场化手段在公共文化资源配置服务中发挥更大的作用。“公共文化服务与文化产业管理”方向侧重于培养具有公共文化服务意识、掌握公共文化政策、熟悉公共文化产品提供和文化产业运作，具备现代管理和公共服务能力的文化管理高级人才。</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8"/>
        </w:rPr>
      </w:pPr>
      <w:r>
        <w:rPr>
          <w:rFonts w:ascii="仿宋_GB2312" w:eastAsia="仿宋_GB2312" w:hAnsi="仿宋" w:cs="仿宋" w:hint="eastAsia"/>
          <w:color w:val="000000"/>
          <w:kern w:val="0"/>
          <w:sz w:val="28"/>
          <w:szCs w:val="28"/>
        </w:rPr>
        <w:t>该培养方向主要运用管理学、经济学和文化学的基本理论和方法对公共文化服务的管理和运行进行系统研究。目前主要围绕公共文化服务体系、公共文化服务政策、公共文化服务模式、公共文化服务的产业化运作等问题对公共文化服务展开研究。重点研究如何发挥文化产业的市场优势，促进公共文化服务的提供和配置，推动文化活动的开展和发展，增加文化设施的设立和维护，提高文化配置的效率和作用。该培养方向在实践教学方面主要关注文化馆、文化站的运作模式和管理方式，文化社区的营造和管理，公共文化活动项目的运作和执行。</w:t>
      </w:r>
    </w:p>
    <w:p w:rsidR="006D1FFE" w:rsidRDefault="006D1FFE" w:rsidP="006D1FFE">
      <w:pPr>
        <w:spacing w:line="500" w:lineRule="exact"/>
        <w:ind w:firstLineChars="200" w:firstLine="560"/>
        <w:rPr>
          <w:rFonts w:ascii="仿宋_GB2312" w:eastAsia="仿宋_GB2312" w:hAnsi="仿宋" w:cs="仿宋" w:hint="eastAsia"/>
          <w:kern w:val="0"/>
          <w:sz w:val="28"/>
          <w:szCs w:val="24"/>
        </w:rPr>
      </w:pPr>
      <w:r>
        <w:rPr>
          <w:rFonts w:ascii="仿宋_GB2312" w:eastAsia="仿宋_GB2312" w:hAnsi="仿宋" w:cs="仿宋" w:hint="eastAsia"/>
          <w:kern w:val="0"/>
          <w:sz w:val="28"/>
        </w:rPr>
        <w:t>本专业学位培养的研究生，符合学校《学位授予规定》和本《学位授予标准》的相关要求，可授予公共管理硕士专业学位。</w:t>
      </w:r>
    </w:p>
    <w:p w:rsidR="006D1FFE" w:rsidRPr="0076651A" w:rsidRDefault="006D1FFE" w:rsidP="006D1FFE">
      <w:pPr>
        <w:adjustRightInd w:val="0"/>
        <w:snapToGrid w:val="0"/>
        <w:spacing w:beforeLines="50" w:afterLines="50" w:line="500" w:lineRule="exact"/>
        <w:ind w:firstLineChars="200" w:firstLine="560"/>
        <w:rPr>
          <w:rFonts w:ascii="黑体" w:eastAsia="黑体"/>
          <w:color w:val="4B4B4B"/>
          <w:sz w:val="28"/>
          <w:szCs w:val="28"/>
        </w:rPr>
      </w:pPr>
      <w:r w:rsidRPr="0076651A">
        <w:rPr>
          <w:rFonts w:ascii="黑体" w:eastAsia="黑体" w:hint="eastAsia"/>
          <w:color w:val="4B4B4B"/>
          <w:sz w:val="28"/>
          <w:szCs w:val="28"/>
        </w:rPr>
        <w:t>二、获本专业学位应具备的基本素质</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获本专业学位应具备的基本素质：</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color w:val="000000"/>
          <w:kern w:val="0"/>
          <w:sz w:val="28"/>
          <w:szCs w:val="28"/>
        </w:rPr>
        <w:lastRenderedPageBreak/>
        <w:t>1.</w:t>
      </w:r>
      <w:r>
        <w:rPr>
          <w:rFonts w:ascii="仿宋_GB2312" w:eastAsia="仿宋_GB2312" w:hAnsi="仿宋" w:cs="仿宋" w:hint="eastAsia"/>
          <w:color w:val="000000"/>
          <w:kern w:val="0"/>
          <w:sz w:val="28"/>
          <w:szCs w:val="28"/>
        </w:rPr>
        <w:t>在政治素质上，以马克思列宁主义、毛泽东思想、邓小平理论、“三个代表”重要思想、科学发展观为指导，具有对建设中国特色社会主义道路的坚定信念以及对改革开放和现代化建设的坚定信心，忠于国家，忠于宪法，服务人民。</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color w:val="000000"/>
          <w:kern w:val="0"/>
          <w:sz w:val="28"/>
          <w:szCs w:val="28"/>
        </w:rPr>
        <w:t>2.</w:t>
      </w:r>
      <w:r>
        <w:rPr>
          <w:rFonts w:ascii="仿宋_GB2312" w:eastAsia="仿宋_GB2312" w:hAnsi="仿宋" w:cs="仿宋" w:hint="eastAsia"/>
          <w:color w:val="000000"/>
          <w:kern w:val="0"/>
          <w:sz w:val="28"/>
          <w:szCs w:val="28"/>
        </w:rPr>
        <w:t>在职业素质上，具有良好的职业道德和敬业精神，具备服务国家、服务人民的社会责任感，努力做好本职工作，吃苦耐劳，联系群众。</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color w:val="000000"/>
          <w:kern w:val="0"/>
          <w:sz w:val="28"/>
          <w:szCs w:val="28"/>
        </w:rPr>
        <w:t>3.</w:t>
      </w:r>
      <w:r>
        <w:rPr>
          <w:rFonts w:ascii="仿宋_GB2312" w:eastAsia="仿宋_GB2312" w:hAnsi="仿宋" w:cs="仿宋" w:hint="eastAsia"/>
          <w:color w:val="000000"/>
          <w:kern w:val="0"/>
          <w:sz w:val="28"/>
          <w:szCs w:val="28"/>
        </w:rPr>
        <w:t>在心理素质上，要有乐观、积极、向上的生活态度和爱岗敬业的精神，同时要意志坚定，自信有度，能正确面对顺境与逆境、成功与失败，具有宽广和包容的胸襟，乐于听取不同的意见。</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color w:val="000000"/>
          <w:kern w:val="0"/>
          <w:sz w:val="28"/>
          <w:szCs w:val="28"/>
        </w:rPr>
        <w:t>4.</w:t>
      </w:r>
      <w:r>
        <w:rPr>
          <w:rFonts w:ascii="仿宋_GB2312" w:eastAsia="仿宋_GB2312" w:hAnsi="仿宋" w:cs="仿宋" w:hint="eastAsia"/>
          <w:color w:val="000000"/>
          <w:kern w:val="0"/>
          <w:sz w:val="28"/>
          <w:szCs w:val="28"/>
        </w:rPr>
        <w:t>在学术道德上，树立法治观念，坚守学术底线，严守学术诚信，恪守学术规范。自觉抵制剽窃、抄袭、篡改、伪造等违反学术道德与学术规范的行为。</w:t>
      </w:r>
    </w:p>
    <w:p w:rsidR="006D1FFE" w:rsidRPr="0076651A" w:rsidRDefault="006D1FFE" w:rsidP="006D1FFE">
      <w:pPr>
        <w:adjustRightInd w:val="0"/>
        <w:snapToGrid w:val="0"/>
        <w:spacing w:beforeLines="50" w:afterLines="50" w:line="500" w:lineRule="exact"/>
        <w:ind w:firstLineChars="200" w:firstLine="560"/>
        <w:rPr>
          <w:rFonts w:ascii="黑体" w:eastAsia="黑体"/>
          <w:color w:val="4B4B4B"/>
          <w:sz w:val="28"/>
          <w:szCs w:val="28"/>
        </w:rPr>
      </w:pPr>
      <w:r w:rsidRPr="0076651A">
        <w:rPr>
          <w:rFonts w:ascii="黑体" w:eastAsia="黑体" w:hint="eastAsia"/>
          <w:color w:val="4B4B4B"/>
          <w:sz w:val="28"/>
          <w:szCs w:val="28"/>
        </w:rPr>
        <w:t>三、获本专业学位应掌握的基本知识</w:t>
      </w:r>
    </w:p>
    <w:p w:rsidR="006D1FFE" w:rsidRDefault="006D1FFE" w:rsidP="006D1FFE">
      <w:pPr>
        <w:widowControl/>
        <w:tabs>
          <w:tab w:val="left" w:pos="0"/>
        </w:tabs>
        <w:adjustRightInd w:val="0"/>
        <w:snapToGrid w:val="0"/>
        <w:spacing w:line="500" w:lineRule="exact"/>
        <w:ind w:firstLineChars="200" w:firstLine="562"/>
        <w:jc w:val="left"/>
        <w:rPr>
          <w:rFonts w:ascii="仿宋_GB2312" w:eastAsia="仿宋_GB2312" w:hAnsi="仿宋" w:cs="仿宋"/>
          <w:b/>
          <w:color w:val="000000"/>
          <w:kern w:val="0"/>
          <w:sz w:val="28"/>
          <w:szCs w:val="28"/>
        </w:rPr>
      </w:pPr>
      <w:r>
        <w:rPr>
          <w:rFonts w:ascii="仿宋_GB2312" w:eastAsia="仿宋_GB2312" w:hAnsi="仿宋" w:cs="仿宋"/>
          <w:b/>
          <w:color w:val="000000"/>
          <w:kern w:val="0"/>
          <w:sz w:val="28"/>
          <w:szCs w:val="28"/>
        </w:rPr>
        <w:t>1.</w:t>
      </w:r>
      <w:r>
        <w:rPr>
          <w:rFonts w:ascii="仿宋_GB2312" w:eastAsia="仿宋_GB2312" w:hAnsi="仿宋" w:cs="仿宋" w:hint="eastAsia"/>
          <w:b/>
          <w:color w:val="000000"/>
          <w:kern w:val="0"/>
          <w:sz w:val="28"/>
          <w:szCs w:val="28"/>
        </w:rPr>
        <w:t>基础知识</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学生应完成</w:t>
      </w:r>
      <w:r>
        <w:rPr>
          <w:rFonts w:ascii="仿宋_GB2312" w:eastAsia="仿宋_GB2312" w:hAnsi="仿宋" w:cs="仿宋"/>
          <w:color w:val="000000"/>
          <w:kern w:val="0"/>
          <w:sz w:val="28"/>
          <w:szCs w:val="28"/>
        </w:rPr>
        <w:t xml:space="preserve">MPA </w:t>
      </w:r>
      <w:r>
        <w:rPr>
          <w:rFonts w:ascii="仿宋_GB2312" w:eastAsia="仿宋_GB2312" w:hAnsi="仿宋" w:cs="仿宋" w:hint="eastAsia"/>
          <w:color w:val="000000"/>
          <w:kern w:val="0"/>
          <w:sz w:val="28"/>
          <w:szCs w:val="28"/>
        </w:rPr>
        <w:t>核心课程的学习，建立完整的公共管理领域基础知识结构，掌握政治学、经济学、社会学尤其是公共管理学、公共政策学等多学科的基本理论、方法以及技术，能够交叉运用管理、政治、经济、法律、现代科技等方面理论知识和科学研究方法发现、分析、解决公共管理领域问题。</w:t>
      </w:r>
    </w:p>
    <w:p w:rsidR="006D1FFE" w:rsidRDefault="006D1FFE" w:rsidP="006D1FFE">
      <w:pPr>
        <w:widowControl/>
        <w:tabs>
          <w:tab w:val="left" w:pos="0"/>
        </w:tabs>
        <w:adjustRightInd w:val="0"/>
        <w:snapToGrid w:val="0"/>
        <w:spacing w:line="500" w:lineRule="exact"/>
        <w:ind w:firstLineChars="200" w:firstLine="562"/>
        <w:jc w:val="left"/>
        <w:rPr>
          <w:rFonts w:ascii="仿宋_GB2312" w:eastAsia="仿宋_GB2312" w:hAnsi="仿宋" w:cs="仿宋"/>
          <w:b/>
          <w:color w:val="000000"/>
          <w:kern w:val="0"/>
          <w:sz w:val="28"/>
          <w:szCs w:val="28"/>
        </w:rPr>
      </w:pPr>
      <w:r>
        <w:rPr>
          <w:rFonts w:ascii="仿宋_GB2312" w:eastAsia="仿宋_GB2312" w:hAnsi="仿宋" w:cs="仿宋"/>
          <w:b/>
          <w:color w:val="000000"/>
          <w:kern w:val="0"/>
          <w:sz w:val="28"/>
          <w:szCs w:val="28"/>
        </w:rPr>
        <w:t>2.</w:t>
      </w:r>
      <w:r>
        <w:rPr>
          <w:rFonts w:ascii="仿宋_GB2312" w:eastAsia="仿宋_GB2312" w:hAnsi="仿宋" w:cs="仿宋" w:hint="eastAsia"/>
          <w:b/>
          <w:color w:val="000000"/>
          <w:kern w:val="0"/>
          <w:sz w:val="28"/>
          <w:szCs w:val="28"/>
        </w:rPr>
        <w:t>专业知识</w:t>
      </w:r>
    </w:p>
    <w:p w:rsidR="006D1FFE" w:rsidRDefault="006D1FFE" w:rsidP="006D1FFE">
      <w:pPr>
        <w:widowControl/>
        <w:tabs>
          <w:tab w:val="left" w:pos="0"/>
        </w:tabs>
        <w:adjustRightInd w:val="0"/>
        <w:snapToGrid w:val="0"/>
        <w:spacing w:line="500" w:lineRule="exact"/>
        <w:ind w:firstLineChars="200" w:firstLine="560"/>
        <w:jc w:val="left"/>
        <w:rPr>
          <w:rFonts w:ascii="微软雅黑" w:eastAsia="微软雅黑" w:hAnsi="微软雅黑"/>
          <w:color w:val="3C3C3C"/>
          <w:sz w:val="24"/>
          <w:szCs w:val="24"/>
        </w:rPr>
      </w:pPr>
      <w:r>
        <w:rPr>
          <w:rFonts w:ascii="仿宋_GB2312" w:eastAsia="仿宋_GB2312" w:hAnsi="仿宋" w:cs="仿宋" w:hint="eastAsia"/>
          <w:color w:val="000000"/>
          <w:kern w:val="0"/>
          <w:sz w:val="28"/>
          <w:szCs w:val="28"/>
        </w:rPr>
        <w:t>学生应在完成核心课程的基础上，选择相应的专业方向，完成该专业方向的系列课程，熟练掌握公共管理专业的理论分析和业务实践技能，以及诸如政治分析、调查问卷、统计模型等研究方法，在此基础上，进一步完成一些完善知识结构、拓宽视野、提升素质和陶冶情操的选修课。</w:t>
      </w:r>
    </w:p>
    <w:p w:rsidR="006D1FFE" w:rsidRPr="0076651A" w:rsidRDefault="006D1FFE" w:rsidP="006D1FFE">
      <w:pPr>
        <w:adjustRightInd w:val="0"/>
        <w:snapToGrid w:val="0"/>
        <w:spacing w:beforeLines="50" w:afterLines="50" w:line="500" w:lineRule="exact"/>
        <w:ind w:firstLineChars="200" w:firstLine="560"/>
        <w:rPr>
          <w:rFonts w:ascii="黑体" w:eastAsia="黑体"/>
          <w:color w:val="4B4B4B"/>
          <w:sz w:val="28"/>
          <w:szCs w:val="28"/>
        </w:rPr>
      </w:pPr>
      <w:r w:rsidRPr="0076651A">
        <w:rPr>
          <w:rFonts w:ascii="黑体" w:eastAsia="黑体" w:hint="eastAsia"/>
          <w:color w:val="4B4B4B"/>
          <w:sz w:val="28"/>
          <w:szCs w:val="28"/>
        </w:rPr>
        <w:lastRenderedPageBreak/>
        <w:t>四、获本专业学位应接受的实践训练</w:t>
      </w:r>
    </w:p>
    <w:p w:rsidR="006D1FFE" w:rsidRDefault="006D1FFE" w:rsidP="006D1FFE">
      <w:pPr>
        <w:widowControl/>
        <w:tabs>
          <w:tab w:val="left" w:pos="0"/>
        </w:tabs>
        <w:adjustRightInd w:val="0"/>
        <w:snapToGrid w:val="0"/>
        <w:spacing w:line="500" w:lineRule="exact"/>
        <w:ind w:firstLineChars="200" w:firstLine="562"/>
        <w:jc w:val="left"/>
        <w:rPr>
          <w:rFonts w:ascii="仿宋_GB2312" w:eastAsia="仿宋_GB2312" w:hAnsi="仿宋" w:cs="仿宋"/>
          <w:b/>
          <w:color w:val="000000"/>
          <w:kern w:val="0"/>
          <w:sz w:val="28"/>
          <w:szCs w:val="28"/>
        </w:rPr>
      </w:pPr>
      <w:r>
        <w:rPr>
          <w:rFonts w:ascii="仿宋_GB2312" w:eastAsia="仿宋_GB2312" w:hAnsi="仿宋" w:cs="仿宋"/>
          <w:b/>
          <w:color w:val="000000"/>
          <w:kern w:val="0"/>
          <w:sz w:val="28"/>
          <w:szCs w:val="28"/>
        </w:rPr>
        <w:t>1.</w:t>
      </w:r>
      <w:r>
        <w:rPr>
          <w:rFonts w:ascii="仿宋_GB2312" w:eastAsia="仿宋_GB2312" w:hAnsi="仿宋" w:cs="仿宋" w:hint="eastAsia"/>
          <w:b/>
          <w:color w:val="000000"/>
          <w:kern w:val="0"/>
          <w:sz w:val="28"/>
          <w:szCs w:val="28"/>
        </w:rPr>
        <w:t>案例教学训练</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通过案例教学的训练，在分析、讨论、角色扮演等学习形式中，学生应获得利用理论知识分析和解决公共管理问题的真实“体验”，培养在面临矛盾、问题和困境时做出科学决策的思维方法，从而具备对问题解决方案进行价值判断的能力以及综合运用所学知识、方法和技能解决实际问题的能力。</w:t>
      </w:r>
    </w:p>
    <w:p w:rsidR="006D1FFE" w:rsidRDefault="006D1FFE" w:rsidP="006D1FFE">
      <w:pPr>
        <w:widowControl/>
        <w:tabs>
          <w:tab w:val="left" w:pos="0"/>
        </w:tabs>
        <w:adjustRightInd w:val="0"/>
        <w:snapToGrid w:val="0"/>
        <w:spacing w:line="500" w:lineRule="exact"/>
        <w:ind w:firstLineChars="200" w:firstLine="562"/>
        <w:jc w:val="left"/>
        <w:rPr>
          <w:rFonts w:ascii="仿宋_GB2312" w:eastAsia="仿宋_GB2312" w:hAnsi="仿宋" w:cs="仿宋"/>
          <w:b/>
          <w:color w:val="000000"/>
          <w:kern w:val="0"/>
          <w:sz w:val="28"/>
          <w:szCs w:val="28"/>
        </w:rPr>
      </w:pPr>
      <w:r>
        <w:rPr>
          <w:rFonts w:ascii="仿宋_GB2312" w:eastAsia="仿宋_GB2312" w:hAnsi="仿宋" w:cs="仿宋"/>
          <w:b/>
          <w:color w:val="000000"/>
          <w:kern w:val="0"/>
          <w:sz w:val="28"/>
          <w:szCs w:val="28"/>
        </w:rPr>
        <w:t>2.</w:t>
      </w:r>
      <w:r>
        <w:rPr>
          <w:rFonts w:ascii="仿宋_GB2312" w:eastAsia="仿宋_GB2312" w:hAnsi="仿宋" w:cs="仿宋" w:hint="eastAsia"/>
          <w:b/>
          <w:color w:val="000000"/>
          <w:kern w:val="0"/>
          <w:sz w:val="28"/>
          <w:szCs w:val="28"/>
        </w:rPr>
        <w:t>公共管理实践</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在实践导师的指导下，学生必须在政府部门或者非营利组织机构等公共部门进行为期不少于三个月的公共管理实践训练。实践形式包括参观、考察、参加课题研究等。完成公共管理实践训练后，须提交符合质量要求的实践报告。</w:t>
      </w:r>
    </w:p>
    <w:p w:rsidR="006D1FFE" w:rsidRPr="0076651A" w:rsidRDefault="006D1FFE" w:rsidP="006D1FFE">
      <w:pPr>
        <w:adjustRightInd w:val="0"/>
        <w:snapToGrid w:val="0"/>
        <w:spacing w:beforeLines="50" w:afterLines="50" w:line="500" w:lineRule="exact"/>
        <w:ind w:firstLineChars="200" w:firstLine="560"/>
        <w:rPr>
          <w:rFonts w:ascii="黑体" w:eastAsia="黑体"/>
          <w:color w:val="4B4B4B"/>
          <w:sz w:val="28"/>
          <w:szCs w:val="28"/>
        </w:rPr>
      </w:pPr>
      <w:r w:rsidRPr="0076651A">
        <w:rPr>
          <w:rFonts w:ascii="黑体" w:eastAsia="黑体" w:hint="eastAsia"/>
          <w:color w:val="4B4B4B"/>
          <w:sz w:val="28"/>
          <w:szCs w:val="28"/>
        </w:rPr>
        <w:t>五、获本专业学位应具备的基本能力</w:t>
      </w:r>
    </w:p>
    <w:p w:rsidR="006D1FFE" w:rsidRDefault="006D1FFE" w:rsidP="006D1FFE">
      <w:pPr>
        <w:widowControl/>
        <w:tabs>
          <w:tab w:val="left" w:pos="0"/>
        </w:tabs>
        <w:adjustRightInd w:val="0"/>
        <w:snapToGrid w:val="0"/>
        <w:spacing w:line="500" w:lineRule="exact"/>
        <w:ind w:firstLineChars="200" w:firstLine="562"/>
        <w:jc w:val="left"/>
        <w:rPr>
          <w:rFonts w:ascii="仿宋_GB2312" w:eastAsia="仿宋_GB2312" w:hAnsi="仿宋" w:cs="仿宋"/>
          <w:b/>
          <w:color w:val="000000"/>
          <w:kern w:val="0"/>
          <w:sz w:val="28"/>
          <w:szCs w:val="28"/>
        </w:rPr>
      </w:pPr>
      <w:r>
        <w:rPr>
          <w:rFonts w:ascii="仿宋_GB2312" w:eastAsia="仿宋_GB2312" w:hAnsi="仿宋" w:cs="仿宋"/>
          <w:b/>
          <w:color w:val="000000"/>
          <w:kern w:val="0"/>
          <w:sz w:val="28"/>
          <w:szCs w:val="28"/>
        </w:rPr>
        <w:t>1.</w:t>
      </w:r>
      <w:r>
        <w:rPr>
          <w:rFonts w:ascii="仿宋_GB2312" w:eastAsia="仿宋_GB2312" w:hAnsi="仿宋" w:cs="仿宋" w:hint="eastAsia"/>
          <w:b/>
          <w:color w:val="000000"/>
          <w:kern w:val="0"/>
          <w:sz w:val="28"/>
          <w:szCs w:val="28"/>
        </w:rPr>
        <w:t>公共服务能力</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具有服务意识，责任心强，对工作认真负责，密切联系群众</w:t>
      </w:r>
      <w:r>
        <w:rPr>
          <w:rFonts w:ascii="仿宋_GB2312" w:eastAsia="仿宋_GB2312" w:hAnsi="仿宋" w:cs="仿宋"/>
          <w:color w:val="000000"/>
          <w:kern w:val="0"/>
          <w:sz w:val="28"/>
          <w:szCs w:val="28"/>
        </w:rPr>
        <w:t>;</w:t>
      </w:r>
      <w:r>
        <w:rPr>
          <w:rFonts w:ascii="仿宋_GB2312" w:eastAsia="仿宋_GB2312" w:hAnsi="仿宋" w:cs="仿宋" w:hint="eastAsia"/>
          <w:color w:val="000000"/>
          <w:kern w:val="0"/>
          <w:sz w:val="28"/>
          <w:szCs w:val="28"/>
        </w:rPr>
        <w:t>善于运用现代公共管理方法和技能，注重提高工作效益。</w:t>
      </w:r>
    </w:p>
    <w:p w:rsidR="006D1FFE" w:rsidRDefault="006D1FFE" w:rsidP="006D1FFE">
      <w:pPr>
        <w:widowControl/>
        <w:tabs>
          <w:tab w:val="left" w:pos="0"/>
        </w:tabs>
        <w:adjustRightInd w:val="0"/>
        <w:snapToGrid w:val="0"/>
        <w:spacing w:line="500" w:lineRule="exact"/>
        <w:ind w:firstLineChars="200" w:firstLine="562"/>
        <w:jc w:val="left"/>
        <w:rPr>
          <w:rFonts w:ascii="仿宋_GB2312" w:eastAsia="仿宋_GB2312" w:hAnsi="仿宋" w:cs="仿宋"/>
          <w:b/>
          <w:color w:val="000000"/>
          <w:kern w:val="0"/>
          <w:sz w:val="28"/>
          <w:szCs w:val="28"/>
        </w:rPr>
      </w:pPr>
      <w:r>
        <w:rPr>
          <w:rFonts w:ascii="仿宋_GB2312" w:eastAsia="仿宋_GB2312" w:hAnsi="仿宋" w:cs="仿宋"/>
          <w:b/>
          <w:color w:val="000000"/>
          <w:kern w:val="0"/>
          <w:sz w:val="28"/>
          <w:szCs w:val="28"/>
        </w:rPr>
        <w:t>2.</w:t>
      </w:r>
      <w:r>
        <w:rPr>
          <w:rFonts w:ascii="仿宋_GB2312" w:eastAsia="仿宋_GB2312" w:hAnsi="仿宋" w:cs="仿宋" w:hint="eastAsia"/>
          <w:b/>
          <w:color w:val="000000"/>
          <w:kern w:val="0"/>
          <w:sz w:val="28"/>
          <w:szCs w:val="28"/>
        </w:rPr>
        <w:t>学习能力</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树立终身学习观念，有良好的学习习惯；能通过研读资料和实践等渠道，从理论和实践两方面积累知识与经验</w:t>
      </w:r>
      <w:r>
        <w:rPr>
          <w:rFonts w:ascii="仿宋_GB2312" w:eastAsia="仿宋_GB2312" w:hAnsi="仿宋" w:cs="仿宋"/>
          <w:color w:val="000000"/>
          <w:kern w:val="0"/>
          <w:sz w:val="28"/>
          <w:szCs w:val="28"/>
        </w:rPr>
        <w:t>;</w:t>
      </w:r>
      <w:r>
        <w:rPr>
          <w:rFonts w:ascii="仿宋_GB2312" w:eastAsia="仿宋_GB2312" w:hAnsi="仿宋" w:cs="仿宋" w:hint="eastAsia"/>
          <w:color w:val="000000"/>
          <w:kern w:val="0"/>
          <w:sz w:val="28"/>
          <w:szCs w:val="28"/>
        </w:rPr>
        <w:t>能掌握科学的调查研究方法，发现和分析问题，把握事物的发展规律，预测发展趋势，并提出对策建议。</w:t>
      </w:r>
    </w:p>
    <w:p w:rsidR="006D1FFE" w:rsidRDefault="006D1FFE" w:rsidP="006D1FFE">
      <w:pPr>
        <w:widowControl/>
        <w:tabs>
          <w:tab w:val="left" w:pos="0"/>
        </w:tabs>
        <w:adjustRightInd w:val="0"/>
        <w:snapToGrid w:val="0"/>
        <w:spacing w:line="500" w:lineRule="exact"/>
        <w:ind w:firstLineChars="200" w:firstLine="562"/>
        <w:jc w:val="left"/>
        <w:rPr>
          <w:rFonts w:ascii="仿宋_GB2312" w:eastAsia="仿宋_GB2312" w:hAnsi="仿宋" w:cs="仿宋"/>
          <w:b/>
          <w:color w:val="000000"/>
          <w:kern w:val="0"/>
          <w:sz w:val="28"/>
          <w:szCs w:val="28"/>
        </w:rPr>
      </w:pPr>
      <w:r>
        <w:rPr>
          <w:rFonts w:ascii="仿宋_GB2312" w:eastAsia="仿宋_GB2312" w:hAnsi="仿宋" w:cs="仿宋"/>
          <w:b/>
          <w:color w:val="000000"/>
          <w:kern w:val="0"/>
          <w:sz w:val="28"/>
          <w:szCs w:val="28"/>
        </w:rPr>
        <w:t>3.</w:t>
      </w:r>
      <w:r>
        <w:rPr>
          <w:rFonts w:ascii="仿宋_GB2312" w:eastAsia="仿宋_GB2312" w:hAnsi="仿宋" w:cs="仿宋" w:hint="eastAsia"/>
          <w:b/>
          <w:color w:val="000000"/>
          <w:kern w:val="0"/>
          <w:sz w:val="28"/>
          <w:szCs w:val="28"/>
        </w:rPr>
        <w:t>沟通协调能力</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语言文字表达条理清晰，用语流畅，重点突出</w:t>
      </w:r>
      <w:r>
        <w:rPr>
          <w:rFonts w:ascii="仿宋_GB2312" w:eastAsia="仿宋_GB2312" w:hAnsi="仿宋" w:cs="仿宋"/>
          <w:color w:val="000000"/>
          <w:kern w:val="0"/>
          <w:sz w:val="28"/>
          <w:szCs w:val="28"/>
        </w:rPr>
        <w:t>;</w:t>
      </w:r>
      <w:r>
        <w:rPr>
          <w:rFonts w:ascii="仿宋_GB2312" w:eastAsia="仿宋_GB2312" w:hAnsi="仿宋" w:cs="仿宋" w:hint="eastAsia"/>
          <w:color w:val="000000"/>
          <w:kern w:val="0"/>
          <w:sz w:val="28"/>
          <w:szCs w:val="28"/>
        </w:rPr>
        <w:t>尊重他人，具有团队合作精神，能有效运用各种沟通方式。</w:t>
      </w:r>
    </w:p>
    <w:p w:rsidR="006D1FFE" w:rsidRDefault="006D1FFE" w:rsidP="006D1FFE">
      <w:pPr>
        <w:widowControl/>
        <w:tabs>
          <w:tab w:val="left" w:pos="0"/>
        </w:tabs>
        <w:adjustRightInd w:val="0"/>
        <w:snapToGrid w:val="0"/>
        <w:spacing w:line="500" w:lineRule="exact"/>
        <w:ind w:firstLineChars="200" w:firstLine="562"/>
        <w:jc w:val="left"/>
        <w:rPr>
          <w:rFonts w:ascii="仿宋_GB2312" w:eastAsia="仿宋_GB2312" w:hAnsi="仿宋" w:cs="仿宋"/>
          <w:b/>
          <w:color w:val="000000"/>
          <w:kern w:val="0"/>
          <w:sz w:val="28"/>
          <w:szCs w:val="28"/>
        </w:rPr>
      </w:pPr>
      <w:r>
        <w:rPr>
          <w:rFonts w:ascii="仿宋_GB2312" w:eastAsia="仿宋_GB2312" w:hAnsi="仿宋" w:cs="仿宋"/>
          <w:b/>
          <w:color w:val="000000"/>
          <w:kern w:val="0"/>
          <w:sz w:val="28"/>
          <w:szCs w:val="28"/>
        </w:rPr>
        <w:t>4.</w:t>
      </w:r>
      <w:r>
        <w:rPr>
          <w:rFonts w:ascii="仿宋_GB2312" w:eastAsia="仿宋_GB2312" w:hAnsi="仿宋" w:cs="仿宋" w:hint="eastAsia"/>
          <w:b/>
          <w:color w:val="000000"/>
          <w:kern w:val="0"/>
          <w:sz w:val="28"/>
          <w:szCs w:val="28"/>
        </w:rPr>
        <w:t>创新能力</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lastRenderedPageBreak/>
        <w:t>具备积极探索的创新精神，具备新观点、新思维，为提高国家创新力和国际竞争力提供支撑。</w:t>
      </w:r>
    </w:p>
    <w:p w:rsidR="006D1FFE" w:rsidRDefault="006D1FFE" w:rsidP="006D1FFE">
      <w:pPr>
        <w:widowControl/>
        <w:tabs>
          <w:tab w:val="left" w:pos="0"/>
        </w:tabs>
        <w:adjustRightInd w:val="0"/>
        <w:snapToGrid w:val="0"/>
        <w:spacing w:line="500" w:lineRule="exact"/>
        <w:ind w:firstLineChars="200" w:firstLine="562"/>
        <w:jc w:val="left"/>
        <w:rPr>
          <w:rFonts w:ascii="仿宋_GB2312" w:eastAsia="仿宋_GB2312" w:hAnsi="仿宋" w:cs="仿宋"/>
          <w:b/>
          <w:color w:val="000000"/>
          <w:kern w:val="0"/>
          <w:sz w:val="28"/>
          <w:szCs w:val="28"/>
        </w:rPr>
      </w:pPr>
      <w:r>
        <w:rPr>
          <w:rFonts w:ascii="仿宋_GB2312" w:eastAsia="仿宋_GB2312" w:hAnsi="仿宋" w:cs="仿宋"/>
          <w:b/>
          <w:color w:val="000000"/>
          <w:kern w:val="0"/>
          <w:sz w:val="28"/>
          <w:szCs w:val="28"/>
        </w:rPr>
        <w:t>5.</w:t>
      </w:r>
      <w:r>
        <w:rPr>
          <w:rFonts w:ascii="仿宋_GB2312" w:eastAsia="仿宋_GB2312" w:hAnsi="仿宋" w:cs="仿宋" w:hint="eastAsia"/>
          <w:b/>
          <w:color w:val="000000"/>
          <w:kern w:val="0"/>
          <w:sz w:val="28"/>
          <w:szCs w:val="28"/>
        </w:rPr>
        <w:t>应变能力</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公共管理实践工作的复杂多变，要求公共管理者能够审时度势，对可能出现的突发事件能够制定预案；在面对复杂事件、突发事件和紧急情况时能保持清醒冷静的头脑，处变不惊，抓住主要矛盾，采取有效措施积极应对。</w:t>
      </w:r>
    </w:p>
    <w:p w:rsidR="006D1FFE" w:rsidRPr="0076651A" w:rsidRDefault="006D1FFE" w:rsidP="006D1FFE">
      <w:pPr>
        <w:adjustRightInd w:val="0"/>
        <w:snapToGrid w:val="0"/>
        <w:spacing w:beforeLines="50" w:afterLines="50" w:line="500" w:lineRule="exact"/>
        <w:ind w:firstLineChars="200" w:firstLine="560"/>
        <w:rPr>
          <w:rFonts w:ascii="黑体" w:eastAsia="黑体"/>
          <w:color w:val="4B4B4B"/>
          <w:sz w:val="28"/>
          <w:szCs w:val="28"/>
        </w:rPr>
      </w:pPr>
      <w:r w:rsidRPr="0076651A">
        <w:rPr>
          <w:rFonts w:ascii="黑体" w:eastAsia="黑体" w:hint="eastAsia"/>
          <w:color w:val="4B4B4B"/>
          <w:sz w:val="28"/>
          <w:szCs w:val="28"/>
        </w:rPr>
        <w:t>六、学位论文基本要求</w:t>
      </w:r>
    </w:p>
    <w:p w:rsidR="006D1FFE" w:rsidRDefault="006D1FFE" w:rsidP="006D1FFE">
      <w:pPr>
        <w:widowControl/>
        <w:tabs>
          <w:tab w:val="left" w:pos="0"/>
        </w:tabs>
        <w:adjustRightInd w:val="0"/>
        <w:snapToGrid w:val="0"/>
        <w:spacing w:line="500" w:lineRule="exact"/>
        <w:ind w:firstLineChars="200" w:firstLine="562"/>
        <w:jc w:val="left"/>
        <w:rPr>
          <w:rFonts w:ascii="仿宋_GB2312" w:eastAsia="仿宋_GB2312" w:hAnsi="仿宋" w:cs="仿宋"/>
          <w:b/>
          <w:color w:val="000000"/>
          <w:kern w:val="0"/>
          <w:sz w:val="28"/>
          <w:szCs w:val="28"/>
        </w:rPr>
      </w:pPr>
      <w:r>
        <w:rPr>
          <w:rFonts w:ascii="仿宋_GB2312" w:eastAsia="仿宋_GB2312" w:hAnsi="仿宋" w:cs="仿宋"/>
          <w:b/>
          <w:color w:val="000000"/>
          <w:kern w:val="0"/>
          <w:sz w:val="28"/>
          <w:szCs w:val="28"/>
        </w:rPr>
        <w:t>1.</w:t>
      </w:r>
      <w:r>
        <w:rPr>
          <w:rFonts w:ascii="仿宋_GB2312" w:eastAsia="仿宋_GB2312" w:hAnsi="仿宋" w:cs="仿宋" w:hint="eastAsia"/>
          <w:b/>
          <w:color w:val="000000"/>
          <w:kern w:val="0"/>
          <w:sz w:val="28"/>
          <w:szCs w:val="28"/>
        </w:rPr>
        <w:t>选题要求</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color w:val="000000"/>
          <w:kern w:val="0"/>
          <w:sz w:val="28"/>
          <w:szCs w:val="28"/>
        </w:rPr>
        <w:t xml:space="preserve">MPA </w:t>
      </w:r>
      <w:r>
        <w:rPr>
          <w:rFonts w:ascii="仿宋_GB2312" w:eastAsia="仿宋_GB2312" w:hAnsi="仿宋" w:cs="仿宋" w:hint="eastAsia"/>
          <w:color w:val="000000"/>
          <w:kern w:val="0"/>
          <w:sz w:val="28"/>
          <w:szCs w:val="28"/>
        </w:rPr>
        <w:t>学位论文选题要具有实践意义或理论意义，强调应用性和实践性，特别鼓励学生选择与自己的工作领域和工作岗位相关的问题展开论文研究，使研究的问题具体化、细分化，使论文能够达到一定的深度和学术水平。</w:t>
      </w:r>
    </w:p>
    <w:p w:rsidR="006D1FFE" w:rsidRDefault="006D1FFE" w:rsidP="006D1FFE">
      <w:pPr>
        <w:widowControl/>
        <w:tabs>
          <w:tab w:val="left" w:pos="0"/>
        </w:tabs>
        <w:adjustRightInd w:val="0"/>
        <w:snapToGrid w:val="0"/>
        <w:spacing w:line="500" w:lineRule="exact"/>
        <w:ind w:firstLineChars="200" w:firstLine="562"/>
        <w:jc w:val="left"/>
        <w:rPr>
          <w:rFonts w:ascii="仿宋_GB2312" w:eastAsia="仿宋_GB2312" w:hAnsi="仿宋" w:cs="仿宋"/>
          <w:b/>
          <w:color w:val="000000"/>
          <w:kern w:val="0"/>
          <w:sz w:val="28"/>
          <w:szCs w:val="28"/>
        </w:rPr>
      </w:pPr>
      <w:r>
        <w:rPr>
          <w:rFonts w:ascii="仿宋_GB2312" w:eastAsia="仿宋_GB2312" w:hAnsi="仿宋" w:cs="仿宋"/>
          <w:b/>
          <w:color w:val="000000"/>
          <w:kern w:val="0"/>
          <w:sz w:val="28"/>
          <w:szCs w:val="28"/>
        </w:rPr>
        <w:t>2.</w:t>
      </w:r>
      <w:r>
        <w:rPr>
          <w:rFonts w:ascii="仿宋_GB2312" w:eastAsia="仿宋_GB2312" w:hAnsi="仿宋" w:cs="仿宋" w:hint="eastAsia"/>
          <w:b/>
          <w:color w:val="000000"/>
          <w:kern w:val="0"/>
          <w:sz w:val="28"/>
          <w:szCs w:val="28"/>
        </w:rPr>
        <w:t>形式及其内容要求</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学位论文形式可是典型案例分析、综合调查研究、公共政策分析等形式。典型案例分析型学位论文是对公共管理实际工作中的典型事件进行充分调研与科学分析，总结经验教训或提出解决问题政策建议</w:t>
      </w:r>
      <w:r>
        <w:rPr>
          <w:rFonts w:ascii="仿宋_GB2312" w:eastAsia="仿宋_GB2312" w:hAnsi="仿宋" w:cs="仿宋"/>
          <w:color w:val="000000"/>
          <w:kern w:val="0"/>
          <w:sz w:val="28"/>
          <w:szCs w:val="28"/>
        </w:rPr>
        <w:t>;</w:t>
      </w:r>
      <w:r>
        <w:rPr>
          <w:rFonts w:ascii="仿宋_GB2312" w:eastAsia="仿宋_GB2312" w:hAnsi="仿宋" w:cs="仿宋" w:hint="eastAsia"/>
          <w:color w:val="000000"/>
          <w:kern w:val="0"/>
          <w:sz w:val="28"/>
          <w:szCs w:val="28"/>
        </w:rPr>
        <w:t>综合调查研究型学位论文是对不同部门或区域的同类公共管理事件进行系统的调研分析与总结归纳，提出具有普遍性的政策建议</w:t>
      </w:r>
      <w:r>
        <w:rPr>
          <w:rFonts w:ascii="仿宋_GB2312" w:eastAsia="仿宋_GB2312" w:hAnsi="仿宋" w:cs="仿宋"/>
          <w:color w:val="000000"/>
          <w:kern w:val="0"/>
          <w:sz w:val="28"/>
          <w:szCs w:val="28"/>
        </w:rPr>
        <w:t>;</w:t>
      </w:r>
      <w:r>
        <w:rPr>
          <w:rFonts w:ascii="仿宋_GB2312" w:eastAsia="仿宋_GB2312" w:hAnsi="仿宋" w:cs="仿宋" w:hint="eastAsia"/>
          <w:color w:val="000000"/>
          <w:kern w:val="0"/>
          <w:sz w:val="28"/>
          <w:szCs w:val="28"/>
        </w:rPr>
        <w:t>公共政策分析型学位论文是对某项公共政策进行调研分析，综合评价政策效果，在比较分析的基础上提出有效的建议。</w:t>
      </w:r>
    </w:p>
    <w:p w:rsidR="006D1FFE" w:rsidRDefault="006D1FFE" w:rsidP="006D1FFE">
      <w:pPr>
        <w:widowControl/>
        <w:tabs>
          <w:tab w:val="left" w:pos="0"/>
        </w:tabs>
        <w:adjustRightInd w:val="0"/>
        <w:snapToGrid w:val="0"/>
        <w:spacing w:line="500" w:lineRule="exact"/>
        <w:ind w:firstLineChars="200" w:firstLine="562"/>
        <w:jc w:val="left"/>
        <w:rPr>
          <w:rFonts w:ascii="仿宋_GB2312" w:eastAsia="仿宋_GB2312" w:hAnsi="仿宋" w:cs="仿宋"/>
          <w:b/>
          <w:color w:val="000000"/>
          <w:kern w:val="0"/>
          <w:sz w:val="28"/>
          <w:szCs w:val="28"/>
        </w:rPr>
      </w:pPr>
      <w:r>
        <w:rPr>
          <w:rFonts w:ascii="仿宋_GB2312" w:eastAsia="仿宋_GB2312" w:hAnsi="仿宋" w:cs="仿宋"/>
          <w:b/>
          <w:color w:val="000000"/>
          <w:kern w:val="0"/>
          <w:sz w:val="28"/>
          <w:szCs w:val="28"/>
        </w:rPr>
        <w:t>3.</w:t>
      </w:r>
      <w:r>
        <w:rPr>
          <w:rFonts w:ascii="仿宋_GB2312" w:eastAsia="仿宋_GB2312" w:hAnsi="仿宋" w:cs="仿宋" w:hint="eastAsia"/>
          <w:b/>
          <w:color w:val="000000"/>
          <w:kern w:val="0"/>
          <w:sz w:val="28"/>
          <w:szCs w:val="28"/>
        </w:rPr>
        <w:t>规范要求</w:t>
      </w:r>
    </w:p>
    <w:p w:rsidR="006D1FFE" w:rsidRDefault="006D1FFE" w:rsidP="006D1FFE">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学位论文一般由以下几部分构成：封面，独创性声明，学位论文版权使用授权书，摘要</w:t>
      </w:r>
      <w:r>
        <w:rPr>
          <w:rFonts w:ascii="仿宋_GB2312" w:eastAsia="仿宋_GB2312" w:hAnsi="仿宋" w:cs="仿宋"/>
          <w:color w:val="000000"/>
          <w:kern w:val="0"/>
          <w:sz w:val="28"/>
          <w:szCs w:val="28"/>
        </w:rPr>
        <w:t>(</w:t>
      </w:r>
      <w:r>
        <w:rPr>
          <w:rFonts w:ascii="仿宋_GB2312" w:eastAsia="仿宋_GB2312" w:hAnsi="仿宋" w:cs="仿宋" w:hint="eastAsia"/>
          <w:color w:val="000000"/>
          <w:kern w:val="0"/>
          <w:sz w:val="28"/>
          <w:szCs w:val="28"/>
        </w:rPr>
        <w:t>中、外文</w:t>
      </w:r>
      <w:r>
        <w:rPr>
          <w:rFonts w:ascii="仿宋_GB2312" w:eastAsia="仿宋_GB2312" w:hAnsi="仿宋" w:cs="仿宋"/>
          <w:color w:val="000000"/>
          <w:kern w:val="0"/>
          <w:sz w:val="28"/>
          <w:szCs w:val="28"/>
        </w:rPr>
        <w:t>)</w:t>
      </w:r>
      <w:r>
        <w:rPr>
          <w:rFonts w:ascii="仿宋_GB2312" w:eastAsia="仿宋_GB2312" w:hAnsi="仿宋" w:cs="仿宋" w:hint="eastAsia"/>
          <w:color w:val="000000"/>
          <w:kern w:val="0"/>
          <w:sz w:val="28"/>
          <w:szCs w:val="28"/>
        </w:rPr>
        <w:t>，关键词，论文目录，正文，参考文献，发表文章和申请专利目录，致谢和必要的附录等。学位论文应概念正确、实验数据可靠、计算或理论推导无误、结构合理、层次清晰、逻辑严密、分析严谨、文字通顺、图表规范，严格按照《广东财</w:t>
      </w:r>
      <w:r>
        <w:rPr>
          <w:rFonts w:ascii="仿宋_GB2312" w:eastAsia="仿宋_GB2312" w:hAnsi="仿宋" w:cs="仿宋" w:hint="eastAsia"/>
          <w:color w:val="000000"/>
          <w:kern w:val="0"/>
          <w:sz w:val="28"/>
          <w:szCs w:val="28"/>
        </w:rPr>
        <w:lastRenderedPageBreak/>
        <w:t>经大学研究生学位论文撰写规范》撰写。引用他人研究成果要明确标注。学位论文字数一般为</w:t>
      </w:r>
      <w:r>
        <w:rPr>
          <w:rFonts w:ascii="仿宋_GB2312" w:eastAsia="仿宋_GB2312" w:hAnsi="仿宋" w:cs="仿宋"/>
          <w:color w:val="000000"/>
          <w:kern w:val="0"/>
          <w:sz w:val="28"/>
          <w:szCs w:val="28"/>
        </w:rPr>
        <w:t xml:space="preserve">3-4 </w:t>
      </w:r>
      <w:r>
        <w:rPr>
          <w:rFonts w:ascii="仿宋_GB2312" w:eastAsia="仿宋_GB2312" w:hAnsi="仿宋" w:cs="仿宋" w:hint="eastAsia"/>
          <w:color w:val="000000"/>
          <w:kern w:val="0"/>
          <w:sz w:val="28"/>
          <w:szCs w:val="28"/>
        </w:rPr>
        <w:t>万字。</w:t>
      </w:r>
    </w:p>
    <w:p w:rsidR="006D1FFE" w:rsidRDefault="006D1FFE" w:rsidP="006D1FFE">
      <w:pPr>
        <w:widowControl/>
        <w:tabs>
          <w:tab w:val="left" w:pos="0"/>
        </w:tabs>
        <w:adjustRightInd w:val="0"/>
        <w:snapToGrid w:val="0"/>
        <w:spacing w:line="500" w:lineRule="exact"/>
        <w:ind w:firstLineChars="200" w:firstLine="562"/>
        <w:jc w:val="left"/>
        <w:rPr>
          <w:rFonts w:ascii="仿宋_GB2312" w:eastAsia="仿宋_GB2312" w:hAnsi="仿宋" w:cs="仿宋"/>
          <w:b/>
          <w:color w:val="000000"/>
          <w:kern w:val="0"/>
          <w:sz w:val="28"/>
          <w:szCs w:val="28"/>
        </w:rPr>
      </w:pPr>
      <w:r>
        <w:rPr>
          <w:rFonts w:ascii="仿宋_GB2312" w:eastAsia="仿宋_GB2312" w:hAnsi="仿宋" w:cs="仿宋"/>
          <w:b/>
          <w:color w:val="000000"/>
          <w:kern w:val="0"/>
          <w:sz w:val="28"/>
          <w:szCs w:val="28"/>
        </w:rPr>
        <w:t>4.</w:t>
      </w:r>
      <w:r>
        <w:rPr>
          <w:rFonts w:ascii="仿宋_GB2312" w:eastAsia="仿宋_GB2312" w:hAnsi="仿宋" w:cs="仿宋" w:hint="eastAsia"/>
          <w:b/>
          <w:color w:val="000000"/>
          <w:kern w:val="0"/>
          <w:sz w:val="28"/>
          <w:szCs w:val="28"/>
        </w:rPr>
        <w:t>水平要求</w:t>
      </w:r>
    </w:p>
    <w:p w:rsidR="00F3408D" w:rsidRDefault="006D1FFE" w:rsidP="006D1FFE">
      <w:pPr>
        <w:ind w:firstLineChars="200" w:firstLine="560"/>
      </w:pPr>
      <w:r>
        <w:rPr>
          <w:rFonts w:ascii="仿宋_GB2312" w:eastAsia="仿宋_GB2312" w:hAnsi="仿宋" w:cs="仿宋" w:hint="eastAsia"/>
          <w:color w:val="000000"/>
          <w:kern w:val="0"/>
          <w:sz w:val="28"/>
          <w:szCs w:val="28"/>
        </w:rPr>
        <w:t>学位论文的研究工作应有一定的难度与深度，论文成果要有一定的创新性、科学性、有效性和较大的实用价值，充分体现作者具有扎实的公共管理知识，并能够运用规范的公共管理研究方法，通过调研，进行科学分析和论证，为公共管理提供决策参考和政策建议。学位论文应在导师指导下由硕士生本人独立完成。</w:t>
      </w:r>
    </w:p>
    <w:sectPr w:rsidR="00F3408D" w:rsidSect="00F340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1FFE"/>
    <w:rsid w:val="006D1FFE"/>
    <w:rsid w:val="00F340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FFE"/>
    <w:pPr>
      <w:widowControl w:val="0"/>
      <w:jc w:val="both"/>
    </w:pPr>
    <w:rPr>
      <w:rFonts w:ascii="等线" w:eastAsia="等线" w:hAnsi="等线" w:cs="Times New Roman"/>
    </w:rPr>
  </w:style>
  <w:style w:type="paragraph" w:styleId="1">
    <w:name w:val="heading 1"/>
    <w:basedOn w:val="a"/>
    <w:next w:val="a"/>
    <w:link w:val="1Char"/>
    <w:qFormat/>
    <w:rsid w:val="006D1FFE"/>
    <w:pPr>
      <w:keepNext/>
      <w:keepLines/>
      <w:spacing w:before="340" w:after="330" w:line="578" w:lineRule="auto"/>
      <w:jc w:val="center"/>
      <w:outlineLvl w:val="0"/>
    </w:pPr>
    <w:rPr>
      <w:rFonts w:eastAsia="黑体"/>
      <w:bCs/>
      <w:kern w:val="44"/>
      <w:sz w:val="36"/>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D1FFE"/>
    <w:rPr>
      <w:rFonts w:ascii="等线" w:eastAsia="黑体" w:hAnsi="等线" w:cs="Times New Roman"/>
      <w:bCs/>
      <w:kern w:val="44"/>
      <w:sz w:val="36"/>
      <w:szCs w:val="4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com/s?q=%E9%9D%9E%E8%90%A5%E5%88%A9%E7%BB%84%E7%BB%87&amp;ie=utf-8&amp;src=wenda_link" TargetMode="External"/><Relationship Id="rId4" Type="http://schemas.openxmlformats.org/officeDocument/2006/relationships/hyperlink" Target="http://www.so.com/s?q=%E4%B8%93%E4%B8%9A%E5%AD%A6%E4%BD%8D&amp;ie=utf-8&amp;src=wenda_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731</Words>
  <Characters>4171</Characters>
  <Application>Microsoft Office Word</Application>
  <DocSecurity>0</DocSecurity>
  <Lines>34</Lines>
  <Paragraphs>9</Paragraphs>
  <ScaleCrop>false</ScaleCrop>
  <Company>微软中国</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彭文霞</dc:creator>
  <cp:keywords/>
  <dc:description/>
  <cp:lastModifiedBy>彭文霞</cp:lastModifiedBy>
  <cp:revision>1</cp:revision>
  <dcterms:created xsi:type="dcterms:W3CDTF">2016-07-01T00:25:00Z</dcterms:created>
  <dcterms:modified xsi:type="dcterms:W3CDTF">2016-07-01T00:32:00Z</dcterms:modified>
</cp:coreProperties>
</file>